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3E7" w:rsidRPr="008D43E7" w:rsidRDefault="008D43E7" w:rsidP="008D43E7">
      <w:pPr>
        <w:spacing w:after="105" w:line="281" w:lineRule="atLeast"/>
        <w:rPr>
          <w:rFonts w:ascii="Verdana" w:eastAsia="Times New Roman" w:hAnsi="Verdana" w:cs="Times New Roman"/>
          <w:b/>
          <w:bCs/>
          <w:color w:val="CC4D00"/>
          <w:sz w:val="28"/>
          <w:szCs w:val="28"/>
        </w:rPr>
      </w:pPr>
      <w:r w:rsidRPr="008D43E7">
        <w:rPr>
          <w:rFonts w:ascii="Verdana" w:eastAsia="Times New Roman" w:hAnsi="Verdana" w:cs="Times New Roman"/>
          <w:b/>
          <w:bCs/>
          <w:color w:val="CC4D00"/>
          <w:sz w:val="28"/>
          <w:szCs w:val="28"/>
        </w:rPr>
        <w:t>Project Planning and Implementing Tools</w:t>
      </w:r>
    </w:p>
    <w:tbl>
      <w:tblPr>
        <w:tblW w:w="9300" w:type="dxa"/>
        <w:tblCellSpacing w:w="0" w:type="dxa"/>
        <w:tblCellMar>
          <w:left w:w="0" w:type="dxa"/>
          <w:right w:w="0" w:type="dxa"/>
        </w:tblCellMar>
        <w:tblLook w:val="04A0"/>
      </w:tblPr>
      <w:tblGrid>
        <w:gridCol w:w="2308"/>
        <w:gridCol w:w="135"/>
        <w:gridCol w:w="4799"/>
        <w:gridCol w:w="2058"/>
      </w:tblGrid>
      <w:tr w:rsidR="008D43E7" w:rsidRPr="008D43E7">
        <w:trPr>
          <w:tblCellSpacing w:w="0" w:type="dxa"/>
        </w:trPr>
        <w:tc>
          <w:tcPr>
            <w:tcW w:w="2546" w:type="dxa"/>
            <w:hideMark/>
          </w:tcPr>
          <w:p w:rsidR="008D43E7" w:rsidRPr="008D43E7" w:rsidRDefault="008D43E7" w:rsidP="008D43E7">
            <w:pPr>
              <w:numPr>
                <w:ilvl w:val="0"/>
                <w:numId w:val="1"/>
              </w:numPr>
              <w:shd w:val="clear" w:color="auto" w:fill="FFFFFF"/>
              <w:spacing w:before="100" w:beforeAutospacing="1" w:after="100" w:afterAutospacing="1" w:line="336" w:lineRule="atLeast"/>
              <w:ind w:left="0"/>
              <w:rPr>
                <w:rFonts w:ascii="Verdana" w:eastAsia="Times New Roman" w:hAnsi="Verdana" w:cs="Times New Roman"/>
                <w:color w:val="003399"/>
                <w:sz w:val="18"/>
                <w:szCs w:val="18"/>
              </w:rPr>
            </w:pPr>
            <w:hyperlink r:id="rId7" w:history="1">
              <w:r w:rsidRPr="008D43E7">
                <w:rPr>
                  <w:rFonts w:ascii="Verdana" w:eastAsia="Times New Roman" w:hAnsi="Verdana" w:cs="Times New Roman"/>
                  <w:color w:val="003399"/>
                  <w:sz w:val="18"/>
                  <w:szCs w:val="18"/>
                </w:rPr>
                <w:t>Overview</w:t>
              </w:r>
            </w:hyperlink>
            <w:r w:rsidRPr="008D43E7">
              <w:rPr>
                <w:rFonts w:ascii="Verdana" w:eastAsia="Times New Roman" w:hAnsi="Verdana" w:cs="Times New Roman"/>
                <w:color w:val="003399"/>
                <w:sz w:val="18"/>
                <w:szCs w:val="18"/>
              </w:rPr>
              <w:t xml:space="preserve"> </w:t>
            </w:r>
          </w:p>
          <w:p w:rsidR="008D43E7" w:rsidRPr="008D43E7" w:rsidRDefault="008D43E7" w:rsidP="008D43E7">
            <w:pPr>
              <w:numPr>
                <w:ilvl w:val="0"/>
                <w:numId w:val="1"/>
              </w:numPr>
              <w:shd w:val="clear" w:color="auto" w:fill="FFFFFF"/>
              <w:spacing w:before="100" w:beforeAutospacing="1" w:after="100" w:afterAutospacing="1" w:line="336" w:lineRule="atLeast"/>
              <w:ind w:left="0"/>
              <w:rPr>
                <w:rFonts w:ascii="Verdana" w:eastAsia="Times New Roman" w:hAnsi="Verdana" w:cs="Times New Roman"/>
                <w:color w:val="666666"/>
                <w:sz w:val="18"/>
                <w:szCs w:val="18"/>
              </w:rPr>
            </w:pPr>
            <w:hyperlink r:id="rId8" w:history="1">
              <w:r w:rsidRPr="008D43E7">
                <w:rPr>
                  <w:rFonts w:ascii="Verdana" w:eastAsia="Times New Roman" w:hAnsi="Verdana" w:cs="Times New Roman"/>
                  <w:color w:val="666666"/>
                  <w:sz w:val="18"/>
                  <w:szCs w:val="18"/>
                </w:rPr>
                <w:t xml:space="preserve">Read More </w:t>
              </w:r>
            </w:hyperlink>
          </w:p>
          <w:p w:rsidR="008D43E7" w:rsidRPr="008D43E7" w:rsidRDefault="008D43E7" w:rsidP="008D43E7">
            <w:pPr>
              <w:spacing w:after="240"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br/>
            </w:r>
            <w:r w:rsidRPr="008D43E7">
              <w:rPr>
                <w:rFonts w:ascii="Verdana" w:eastAsia="Times New Roman" w:hAnsi="Verdana" w:cs="Times New Roman"/>
                <w:color w:val="000000"/>
                <w:sz w:val="19"/>
                <w:szCs w:val="19"/>
              </w:rPr>
              <w:br/>
            </w:r>
          </w:p>
        </w:tc>
        <w:tc>
          <w:tcPr>
            <w:tcW w:w="150" w:type="dxa"/>
            <w:hideMark/>
          </w:tcPr>
          <w:p w:rsidR="008D43E7" w:rsidRPr="008D43E7" w:rsidRDefault="008D43E7" w:rsidP="008D43E7">
            <w:pPr>
              <w:spacing w:after="0"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w:t>
            </w:r>
          </w:p>
        </w:tc>
        <w:tc>
          <w:tcPr>
            <w:tcW w:w="4800" w:type="dxa"/>
            <w:tcMar>
              <w:top w:w="176" w:type="dxa"/>
              <w:left w:w="176" w:type="dxa"/>
              <w:bottom w:w="176" w:type="dxa"/>
              <w:right w:w="176" w:type="dxa"/>
            </w:tcMar>
            <w:hideMark/>
          </w:tcPr>
          <w:p w:rsidR="008D43E7" w:rsidRPr="008D43E7" w:rsidRDefault="008D43E7" w:rsidP="008D43E7">
            <w:pPr>
              <w:spacing w:before="100" w:beforeAutospacing="1" w:after="100" w:afterAutospacing="1" w:line="228" w:lineRule="atLeast"/>
              <w:rPr>
                <w:rFonts w:ascii="Verdana" w:eastAsia="Times New Roman" w:hAnsi="Verdana" w:cs="Times New Roman"/>
                <w:b/>
                <w:bCs/>
                <w:color w:val="CC4D00"/>
                <w:sz w:val="27"/>
                <w:szCs w:val="27"/>
              </w:rPr>
            </w:pPr>
            <w:r w:rsidRPr="008D43E7">
              <w:rPr>
                <w:rFonts w:ascii="Verdana" w:eastAsia="Times New Roman" w:hAnsi="Verdana" w:cs="Times New Roman"/>
                <w:b/>
                <w:bCs/>
                <w:color w:val="CC4D00"/>
                <w:sz w:val="27"/>
                <w:szCs w:val="27"/>
              </w:rPr>
              <w:t>Plan–Do–Check–Act Cycle</w:t>
            </w:r>
          </w:p>
          <w:p w:rsidR="008D43E7" w:rsidRPr="008D43E7" w:rsidRDefault="008D43E7" w:rsidP="008D43E7">
            <w:p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Also called: PDCA, plan–do–study–act (PDSA) cycle, Deming cycle, </w:t>
            </w:r>
            <w:proofErr w:type="spellStart"/>
            <w:r w:rsidRPr="008D43E7">
              <w:rPr>
                <w:rFonts w:ascii="Verdana" w:eastAsia="Times New Roman" w:hAnsi="Verdana" w:cs="Times New Roman"/>
                <w:color w:val="000000"/>
                <w:sz w:val="19"/>
                <w:szCs w:val="19"/>
              </w:rPr>
              <w:t>Shewhart</w:t>
            </w:r>
            <w:proofErr w:type="spellEnd"/>
            <w:r w:rsidRPr="008D43E7">
              <w:rPr>
                <w:rFonts w:ascii="Verdana" w:eastAsia="Times New Roman" w:hAnsi="Verdana" w:cs="Times New Roman"/>
                <w:color w:val="000000"/>
                <w:sz w:val="19"/>
                <w:szCs w:val="19"/>
              </w:rPr>
              <w:t xml:space="preserve"> cycle </w:t>
            </w:r>
          </w:p>
          <w:p w:rsidR="008D43E7" w:rsidRPr="008D43E7" w:rsidRDefault="008D43E7" w:rsidP="008D43E7">
            <w:pPr>
              <w:pBdr>
                <w:bottom w:val="single" w:sz="6" w:space="4" w:color="999999"/>
              </w:pBdr>
              <w:spacing w:after="0" w:line="228" w:lineRule="atLeast"/>
              <w:rPr>
                <w:rFonts w:ascii="Verdana" w:eastAsia="Times New Roman" w:hAnsi="Verdana" w:cs="Times New Roman"/>
                <w:b/>
                <w:bCs/>
                <w:color w:val="CC4D00"/>
                <w:sz w:val="19"/>
                <w:szCs w:val="19"/>
              </w:rPr>
            </w:pPr>
            <w:r w:rsidRPr="008D43E7">
              <w:rPr>
                <w:rFonts w:ascii="Verdana" w:eastAsia="Times New Roman" w:hAnsi="Verdana" w:cs="Times New Roman"/>
                <w:b/>
                <w:bCs/>
                <w:color w:val="CC4D00"/>
                <w:sz w:val="19"/>
                <w:szCs w:val="19"/>
              </w:rPr>
              <w:t>Description</w:t>
            </w:r>
          </w:p>
          <w:p w:rsidR="008D43E7" w:rsidRPr="008D43E7" w:rsidRDefault="008D43E7" w:rsidP="008D43E7">
            <w:p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The plan–do–check–act cycle (Figure 1) is a four-step model for carrying out change. Just as a circle has no end, the PDCA cycle should be repeated again and again for continuous improvement. </w:t>
            </w:r>
          </w:p>
          <w:p w:rsidR="008D43E7" w:rsidRPr="008D43E7" w:rsidRDefault="008D43E7" w:rsidP="008D43E7">
            <w:pPr>
              <w:spacing w:before="100" w:beforeAutospacing="1" w:after="100" w:afterAutospacing="1" w:line="228" w:lineRule="atLeast"/>
              <w:jc w:val="center"/>
              <w:rPr>
                <w:rFonts w:ascii="Verdana" w:eastAsia="Times New Roman" w:hAnsi="Verdana" w:cs="Times New Roman"/>
                <w:color w:val="000000"/>
                <w:sz w:val="19"/>
                <w:szCs w:val="19"/>
              </w:rPr>
            </w:pPr>
            <w:r>
              <w:rPr>
                <w:rFonts w:ascii="Verdana" w:eastAsia="Times New Roman" w:hAnsi="Verdana" w:cs="Times New Roman"/>
                <w:noProof/>
                <w:color w:val="000000"/>
                <w:sz w:val="19"/>
                <w:szCs w:val="19"/>
              </w:rPr>
              <w:drawing>
                <wp:inline distT="0" distB="0" distL="0" distR="0">
                  <wp:extent cx="1371600" cy="1383030"/>
                  <wp:effectExtent l="19050" t="0" r="0" b="0"/>
                  <wp:docPr id="1" name="Picture 1" descr="Figure 1: Plan-do-study-act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Plan-do-study-act cycle"/>
                          <pic:cNvPicPr>
                            <a:picLocks noChangeAspect="1" noChangeArrowheads="1"/>
                          </pic:cNvPicPr>
                        </pic:nvPicPr>
                        <pic:blipFill>
                          <a:blip r:embed="rId9" cstate="print"/>
                          <a:srcRect/>
                          <a:stretch>
                            <a:fillRect/>
                          </a:stretch>
                        </pic:blipFill>
                        <pic:spPr bwMode="auto">
                          <a:xfrm>
                            <a:off x="0" y="0"/>
                            <a:ext cx="1371600" cy="1383030"/>
                          </a:xfrm>
                          <a:prstGeom prst="rect">
                            <a:avLst/>
                          </a:prstGeom>
                          <a:noFill/>
                          <a:ln w="9525">
                            <a:noFill/>
                            <a:miter lim="800000"/>
                            <a:headEnd/>
                            <a:tailEnd/>
                          </a:ln>
                        </pic:spPr>
                      </pic:pic>
                    </a:graphicData>
                  </a:graphic>
                </wp:inline>
              </w:drawing>
            </w:r>
            <w:r w:rsidRPr="008D43E7">
              <w:rPr>
                <w:rFonts w:ascii="Verdana" w:eastAsia="Times New Roman" w:hAnsi="Verdana" w:cs="Times New Roman"/>
                <w:color w:val="000000"/>
                <w:sz w:val="19"/>
                <w:szCs w:val="19"/>
              </w:rPr>
              <w:br/>
            </w:r>
            <w:r w:rsidRPr="008D43E7">
              <w:rPr>
                <w:rFonts w:ascii="Verdana" w:eastAsia="Times New Roman" w:hAnsi="Verdana" w:cs="Times New Roman"/>
                <w:b/>
                <w:bCs/>
                <w:color w:val="000000"/>
                <w:sz w:val="19"/>
              </w:rPr>
              <w:t xml:space="preserve">Figure 1: Plan-do-check-act cycle </w:t>
            </w:r>
          </w:p>
          <w:p w:rsidR="008D43E7" w:rsidRPr="008D43E7" w:rsidRDefault="008D43E7" w:rsidP="008D43E7">
            <w:pPr>
              <w:pBdr>
                <w:bottom w:val="single" w:sz="6" w:space="4" w:color="999999"/>
              </w:pBdr>
              <w:spacing w:after="0" w:line="228" w:lineRule="atLeast"/>
              <w:rPr>
                <w:rFonts w:ascii="Verdana" w:eastAsia="Times New Roman" w:hAnsi="Verdana" w:cs="Times New Roman"/>
                <w:b/>
                <w:bCs/>
                <w:color w:val="CC4D00"/>
                <w:sz w:val="19"/>
                <w:szCs w:val="19"/>
              </w:rPr>
            </w:pPr>
            <w:r w:rsidRPr="008D43E7">
              <w:rPr>
                <w:rFonts w:ascii="Verdana" w:eastAsia="Times New Roman" w:hAnsi="Verdana" w:cs="Times New Roman"/>
                <w:b/>
                <w:bCs/>
                <w:color w:val="CC4D00"/>
                <w:sz w:val="19"/>
                <w:szCs w:val="19"/>
              </w:rPr>
              <w:t xml:space="preserve">When to Use Plan-Do-Check-Act </w:t>
            </w:r>
          </w:p>
          <w:p w:rsidR="008D43E7" w:rsidRPr="008D43E7" w:rsidRDefault="008D43E7" w:rsidP="008D43E7">
            <w:pPr>
              <w:numPr>
                <w:ilvl w:val="0"/>
                <w:numId w:val="2"/>
              </w:num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As a model for continuous improvement. </w:t>
            </w:r>
          </w:p>
          <w:p w:rsidR="008D43E7" w:rsidRPr="008D43E7" w:rsidRDefault="008D43E7" w:rsidP="008D43E7">
            <w:pPr>
              <w:numPr>
                <w:ilvl w:val="0"/>
                <w:numId w:val="2"/>
              </w:num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When starting a new improvement project. </w:t>
            </w:r>
          </w:p>
          <w:p w:rsidR="008D43E7" w:rsidRPr="008D43E7" w:rsidRDefault="008D43E7" w:rsidP="008D43E7">
            <w:pPr>
              <w:numPr>
                <w:ilvl w:val="0"/>
                <w:numId w:val="2"/>
              </w:num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When developing a new or improved design of a process, product or service. </w:t>
            </w:r>
          </w:p>
          <w:p w:rsidR="008D43E7" w:rsidRPr="008D43E7" w:rsidRDefault="008D43E7" w:rsidP="008D43E7">
            <w:pPr>
              <w:numPr>
                <w:ilvl w:val="0"/>
                <w:numId w:val="2"/>
              </w:num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When defining a repetitive work process. </w:t>
            </w:r>
          </w:p>
          <w:p w:rsidR="008D43E7" w:rsidRPr="008D43E7" w:rsidRDefault="008D43E7" w:rsidP="008D43E7">
            <w:pPr>
              <w:numPr>
                <w:ilvl w:val="0"/>
                <w:numId w:val="2"/>
              </w:num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When planning data collection and analysis in order to verify and prioritize problems or root causes. </w:t>
            </w:r>
          </w:p>
          <w:p w:rsidR="008D43E7" w:rsidRPr="008D43E7" w:rsidRDefault="008D43E7" w:rsidP="008D43E7">
            <w:pPr>
              <w:numPr>
                <w:ilvl w:val="0"/>
                <w:numId w:val="2"/>
              </w:num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When implementing any change. </w:t>
            </w:r>
          </w:p>
          <w:p w:rsidR="008D43E7" w:rsidRPr="008D43E7" w:rsidRDefault="008D43E7" w:rsidP="008D43E7">
            <w:pPr>
              <w:pBdr>
                <w:bottom w:val="single" w:sz="6" w:space="4" w:color="999999"/>
              </w:pBdr>
              <w:spacing w:after="0" w:line="228" w:lineRule="atLeast"/>
              <w:rPr>
                <w:rFonts w:ascii="Verdana" w:eastAsia="Times New Roman" w:hAnsi="Verdana" w:cs="Times New Roman"/>
                <w:b/>
                <w:bCs/>
                <w:color w:val="CC4D00"/>
                <w:sz w:val="19"/>
                <w:szCs w:val="19"/>
              </w:rPr>
            </w:pPr>
            <w:r w:rsidRPr="008D43E7">
              <w:rPr>
                <w:rFonts w:ascii="Verdana" w:eastAsia="Times New Roman" w:hAnsi="Verdana" w:cs="Times New Roman"/>
                <w:b/>
                <w:bCs/>
                <w:color w:val="CC4D00"/>
                <w:sz w:val="19"/>
                <w:szCs w:val="19"/>
              </w:rPr>
              <w:t>Plan-Do-Check-Act Procedure</w:t>
            </w:r>
          </w:p>
          <w:p w:rsidR="008D43E7" w:rsidRPr="008D43E7" w:rsidRDefault="008D43E7" w:rsidP="008D43E7">
            <w:pPr>
              <w:numPr>
                <w:ilvl w:val="0"/>
                <w:numId w:val="3"/>
              </w:num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Plan. Recognize an opportunity and plan a change. </w:t>
            </w:r>
          </w:p>
          <w:p w:rsidR="008D43E7" w:rsidRPr="008D43E7" w:rsidRDefault="008D43E7" w:rsidP="008D43E7">
            <w:pPr>
              <w:numPr>
                <w:ilvl w:val="0"/>
                <w:numId w:val="3"/>
              </w:num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Do. Test the change. Carry out a small-scale study. </w:t>
            </w:r>
          </w:p>
          <w:p w:rsidR="008D43E7" w:rsidRPr="008D43E7" w:rsidRDefault="008D43E7" w:rsidP="008D43E7">
            <w:pPr>
              <w:numPr>
                <w:ilvl w:val="0"/>
                <w:numId w:val="3"/>
              </w:num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Study. Review the test, analyze the results and identify what you’ve </w:t>
            </w:r>
            <w:r w:rsidRPr="008D43E7">
              <w:rPr>
                <w:rFonts w:ascii="Verdana" w:eastAsia="Times New Roman" w:hAnsi="Verdana" w:cs="Times New Roman"/>
                <w:color w:val="000000"/>
                <w:sz w:val="19"/>
                <w:szCs w:val="19"/>
              </w:rPr>
              <w:lastRenderedPageBreak/>
              <w:t xml:space="preserve">learned. </w:t>
            </w:r>
          </w:p>
          <w:p w:rsidR="008D43E7" w:rsidRPr="008D43E7" w:rsidRDefault="008D43E7" w:rsidP="008D43E7">
            <w:pPr>
              <w:numPr>
                <w:ilvl w:val="0"/>
                <w:numId w:val="3"/>
              </w:num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Act. Take action based on what you learned in the study step: If the change did not work, go through the cycle again with a different plan. If you were successful, incorporate what you learned from the test into wider changes. Use what you learned to plan new improvements, beginning the cycle again. </w:t>
            </w:r>
          </w:p>
          <w:p w:rsidR="008D43E7" w:rsidRPr="008D43E7" w:rsidRDefault="008D43E7" w:rsidP="008D43E7">
            <w:pPr>
              <w:pBdr>
                <w:bottom w:val="single" w:sz="6" w:space="4" w:color="999999"/>
              </w:pBdr>
              <w:spacing w:after="0" w:line="228" w:lineRule="atLeast"/>
              <w:rPr>
                <w:rFonts w:ascii="Verdana" w:eastAsia="Times New Roman" w:hAnsi="Verdana" w:cs="Times New Roman"/>
                <w:b/>
                <w:bCs/>
                <w:color w:val="CC4D00"/>
                <w:sz w:val="19"/>
                <w:szCs w:val="19"/>
              </w:rPr>
            </w:pPr>
            <w:r w:rsidRPr="008D43E7">
              <w:rPr>
                <w:rFonts w:ascii="Verdana" w:eastAsia="Times New Roman" w:hAnsi="Verdana" w:cs="Times New Roman"/>
                <w:b/>
                <w:bCs/>
                <w:color w:val="CC4D00"/>
                <w:sz w:val="19"/>
                <w:szCs w:val="19"/>
              </w:rPr>
              <w:t>Plan-Do-Check-Act Example</w:t>
            </w:r>
          </w:p>
          <w:p w:rsidR="008D43E7" w:rsidRPr="008D43E7" w:rsidRDefault="008D43E7" w:rsidP="008D43E7">
            <w:p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The Pearl River, NY School District, a 2001 recipient of the Malcolm </w:t>
            </w:r>
            <w:proofErr w:type="spellStart"/>
            <w:r w:rsidRPr="008D43E7">
              <w:rPr>
                <w:rFonts w:ascii="Verdana" w:eastAsia="Times New Roman" w:hAnsi="Verdana" w:cs="Times New Roman"/>
                <w:color w:val="000000"/>
                <w:sz w:val="19"/>
                <w:szCs w:val="19"/>
              </w:rPr>
              <w:t>Baldrige</w:t>
            </w:r>
            <w:proofErr w:type="spellEnd"/>
            <w:r w:rsidRPr="008D43E7">
              <w:rPr>
                <w:rFonts w:ascii="Verdana" w:eastAsia="Times New Roman" w:hAnsi="Verdana" w:cs="Times New Roman"/>
                <w:color w:val="000000"/>
                <w:sz w:val="19"/>
                <w:szCs w:val="19"/>
              </w:rPr>
              <w:t xml:space="preserve"> National Quality Award, uses the PDCA cycle as a model for defining most of their work processes, from the boardroom to the classroom. </w:t>
            </w:r>
          </w:p>
          <w:p w:rsidR="008D43E7" w:rsidRPr="008D43E7" w:rsidRDefault="008D43E7" w:rsidP="008D43E7">
            <w:p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PDCA is the basic structure for the district’s overall strategic planning, needs-analysis, curriculum design and delivery, staff goal-setting and evaluation, provision of student services and support services, and classroom instruction. </w:t>
            </w:r>
          </w:p>
          <w:p w:rsidR="008D43E7" w:rsidRPr="008D43E7" w:rsidRDefault="008D43E7" w:rsidP="008D43E7">
            <w:p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Figure 2 shows their “A+ Approach to Classroom Success.” This is a continuous cycle of designing curriculum and delivering classroom instruction. Improvement is not a separate activity: It is built into the work process. </w:t>
            </w:r>
          </w:p>
          <w:p w:rsidR="008D43E7" w:rsidRPr="008D43E7" w:rsidRDefault="008D43E7" w:rsidP="008D43E7">
            <w:pPr>
              <w:spacing w:before="100" w:beforeAutospacing="1" w:after="100" w:afterAutospacing="1" w:line="228" w:lineRule="atLeast"/>
              <w:jc w:val="center"/>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br/>
            </w:r>
            <w:r>
              <w:rPr>
                <w:rFonts w:ascii="Verdana" w:eastAsia="Times New Roman" w:hAnsi="Verdana" w:cs="Times New Roman"/>
                <w:noProof/>
                <w:color w:val="000000"/>
                <w:sz w:val="19"/>
                <w:szCs w:val="19"/>
              </w:rPr>
              <w:drawing>
                <wp:inline distT="0" distB="0" distL="0" distR="0">
                  <wp:extent cx="2442210" cy="1873250"/>
                  <wp:effectExtent l="19050" t="0" r="0" b="0"/>
                  <wp:docPr id="2" name="Picture 2" descr="Figure2: Plan-do-study-act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2: Plan-do-study-act example"/>
                          <pic:cNvPicPr>
                            <a:picLocks noChangeAspect="1" noChangeArrowheads="1"/>
                          </pic:cNvPicPr>
                        </pic:nvPicPr>
                        <pic:blipFill>
                          <a:blip r:embed="rId10" cstate="print"/>
                          <a:srcRect/>
                          <a:stretch>
                            <a:fillRect/>
                          </a:stretch>
                        </pic:blipFill>
                        <pic:spPr bwMode="auto">
                          <a:xfrm>
                            <a:off x="0" y="0"/>
                            <a:ext cx="2442210" cy="1873250"/>
                          </a:xfrm>
                          <a:prstGeom prst="rect">
                            <a:avLst/>
                          </a:prstGeom>
                          <a:noFill/>
                          <a:ln w="9525">
                            <a:noFill/>
                            <a:miter lim="800000"/>
                            <a:headEnd/>
                            <a:tailEnd/>
                          </a:ln>
                        </pic:spPr>
                      </pic:pic>
                    </a:graphicData>
                  </a:graphic>
                </wp:inline>
              </w:drawing>
            </w:r>
            <w:r w:rsidRPr="008D43E7">
              <w:rPr>
                <w:rFonts w:ascii="Verdana" w:eastAsia="Times New Roman" w:hAnsi="Verdana" w:cs="Times New Roman"/>
                <w:color w:val="000000"/>
                <w:sz w:val="19"/>
                <w:szCs w:val="19"/>
              </w:rPr>
              <w:br/>
            </w:r>
            <w:r w:rsidRPr="008D43E7">
              <w:rPr>
                <w:rFonts w:ascii="Verdana" w:eastAsia="Times New Roman" w:hAnsi="Verdana" w:cs="Times New Roman"/>
                <w:b/>
                <w:bCs/>
                <w:color w:val="000000"/>
                <w:sz w:val="19"/>
              </w:rPr>
              <w:t xml:space="preserve">Figure 2: Plan-do-check-act example </w:t>
            </w:r>
          </w:p>
          <w:p w:rsidR="008D43E7" w:rsidRPr="008D43E7" w:rsidRDefault="008D43E7" w:rsidP="008D43E7">
            <w:p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b/>
                <w:bCs/>
                <w:color w:val="000000"/>
                <w:sz w:val="19"/>
              </w:rPr>
              <w:t>Plan.</w:t>
            </w:r>
            <w:r w:rsidRPr="008D43E7">
              <w:rPr>
                <w:rFonts w:ascii="Verdana" w:eastAsia="Times New Roman" w:hAnsi="Verdana" w:cs="Times New Roman"/>
                <w:color w:val="000000"/>
                <w:sz w:val="19"/>
                <w:szCs w:val="19"/>
              </w:rPr>
              <w:t xml:space="preserve"> The A+ Approach begins with a “plan” step called “analyze.” In this step, students’ needs are analyzed by examining a range of </w:t>
            </w:r>
            <w:r w:rsidRPr="008D43E7">
              <w:rPr>
                <w:rFonts w:ascii="Verdana" w:eastAsia="Times New Roman" w:hAnsi="Verdana" w:cs="Times New Roman"/>
                <w:color w:val="000000"/>
                <w:sz w:val="19"/>
                <w:szCs w:val="19"/>
              </w:rPr>
              <w:lastRenderedPageBreak/>
              <w:t xml:space="preserve">data available in Pearl River’s electronic data “warehouse,” from grades to performance on standardized tests. Data can be analyzed for individual students or stratified by grade, gender or any other subgroup. Because PDCA does not specify how to analyze data, a separate data analysis process (Figure 3) is used here as well as in other processes throughout the organization. </w:t>
            </w:r>
          </w:p>
          <w:p w:rsidR="008D43E7" w:rsidRPr="008D43E7" w:rsidRDefault="008D43E7" w:rsidP="008D43E7">
            <w:pPr>
              <w:spacing w:before="100" w:beforeAutospacing="1" w:after="100" w:afterAutospacing="1" w:line="228" w:lineRule="atLeast"/>
              <w:jc w:val="center"/>
              <w:rPr>
                <w:rFonts w:ascii="Verdana" w:eastAsia="Times New Roman" w:hAnsi="Verdana" w:cs="Times New Roman"/>
                <w:color w:val="000000"/>
                <w:sz w:val="19"/>
                <w:szCs w:val="19"/>
              </w:rPr>
            </w:pPr>
            <w:r>
              <w:rPr>
                <w:rFonts w:ascii="Verdana" w:eastAsia="Times New Roman" w:hAnsi="Verdana" w:cs="Times New Roman"/>
                <w:noProof/>
                <w:color w:val="000000"/>
                <w:sz w:val="19"/>
                <w:szCs w:val="19"/>
              </w:rPr>
              <w:drawing>
                <wp:inline distT="0" distB="0" distL="0" distR="0">
                  <wp:extent cx="2799080" cy="1717040"/>
                  <wp:effectExtent l="19050" t="0" r="1270" b="0"/>
                  <wp:docPr id="3" name="Picture 3" descr=" Figure 3: Pearl River: analysis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Figure 3: Pearl River: analysis process"/>
                          <pic:cNvPicPr>
                            <a:picLocks noChangeAspect="1" noChangeArrowheads="1"/>
                          </pic:cNvPicPr>
                        </pic:nvPicPr>
                        <pic:blipFill>
                          <a:blip r:embed="rId11" cstate="print"/>
                          <a:srcRect/>
                          <a:stretch>
                            <a:fillRect/>
                          </a:stretch>
                        </pic:blipFill>
                        <pic:spPr bwMode="auto">
                          <a:xfrm>
                            <a:off x="0" y="0"/>
                            <a:ext cx="2799080" cy="1717040"/>
                          </a:xfrm>
                          <a:prstGeom prst="rect">
                            <a:avLst/>
                          </a:prstGeom>
                          <a:noFill/>
                          <a:ln w="9525">
                            <a:noFill/>
                            <a:miter lim="800000"/>
                            <a:headEnd/>
                            <a:tailEnd/>
                          </a:ln>
                        </pic:spPr>
                      </pic:pic>
                    </a:graphicData>
                  </a:graphic>
                </wp:inline>
              </w:drawing>
            </w:r>
            <w:r w:rsidRPr="008D43E7">
              <w:rPr>
                <w:rFonts w:ascii="Verdana" w:eastAsia="Times New Roman" w:hAnsi="Verdana" w:cs="Times New Roman"/>
                <w:color w:val="000000"/>
                <w:sz w:val="19"/>
                <w:szCs w:val="19"/>
              </w:rPr>
              <w:br/>
            </w:r>
            <w:r w:rsidRPr="008D43E7">
              <w:rPr>
                <w:rFonts w:ascii="Verdana" w:eastAsia="Times New Roman" w:hAnsi="Verdana" w:cs="Times New Roman"/>
                <w:b/>
                <w:bCs/>
                <w:color w:val="000000"/>
                <w:sz w:val="19"/>
              </w:rPr>
              <w:t xml:space="preserve">Figure 3: Pearl River: analysis process </w:t>
            </w:r>
          </w:p>
          <w:p w:rsidR="008D43E7" w:rsidRPr="008D43E7" w:rsidRDefault="008D43E7" w:rsidP="008D43E7">
            <w:p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b/>
                <w:bCs/>
                <w:color w:val="000000"/>
                <w:sz w:val="19"/>
              </w:rPr>
              <w:t xml:space="preserve">Do. </w:t>
            </w:r>
            <w:r w:rsidRPr="008D43E7">
              <w:rPr>
                <w:rFonts w:ascii="Verdana" w:eastAsia="Times New Roman" w:hAnsi="Verdana" w:cs="Times New Roman"/>
                <w:color w:val="000000"/>
                <w:sz w:val="19"/>
                <w:szCs w:val="19"/>
              </w:rPr>
              <w:t xml:space="preserve">The A+ Approach continues with two “do” steps: </w:t>
            </w:r>
          </w:p>
          <w:p w:rsidR="008D43E7" w:rsidRPr="008D43E7" w:rsidRDefault="008D43E7" w:rsidP="008D43E7">
            <w:pPr>
              <w:numPr>
                <w:ilvl w:val="0"/>
                <w:numId w:val="4"/>
              </w:num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“Align” asks what national and state standards require and how they will be assessed. Teaching staff also plans curriculum by looking at what is taught at earlier and later grade levels and in other disciplines to assure a clear continuity of instruction throughout the student’s schooling.</w:t>
            </w:r>
            <w:r w:rsidRPr="008D43E7">
              <w:rPr>
                <w:rFonts w:ascii="Verdana" w:eastAsia="Times New Roman" w:hAnsi="Verdana" w:cs="Times New Roman"/>
                <w:color w:val="000000"/>
                <w:sz w:val="19"/>
                <w:szCs w:val="19"/>
              </w:rPr>
              <w:br/>
            </w:r>
            <w:r w:rsidRPr="008D43E7">
              <w:rPr>
                <w:rFonts w:ascii="Verdana" w:eastAsia="Times New Roman" w:hAnsi="Verdana" w:cs="Times New Roman"/>
                <w:color w:val="000000"/>
                <w:sz w:val="19"/>
                <w:szCs w:val="19"/>
              </w:rPr>
              <w:br/>
              <w:t xml:space="preserve">Teachers develop individual goals to improve their instruction where the “analyze” step showed any gaps. </w:t>
            </w:r>
          </w:p>
          <w:p w:rsidR="008D43E7" w:rsidRPr="008D43E7" w:rsidRDefault="008D43E7" w:rsidP="008D43E7">
            <w:pPr>
              <w:numPr>
                <w:ilvl w:val="0"/>
                <w:numId w:val="4"/>
              </w:num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The second “do” step is, in this example, called “act.” This is where instruction is actually provided, following the curriculum and teaching goals. Within set parameters, teachers vary the delivery of instruction based on each student’s learning rates and styles and varying teaching methods. </w:t>
            </w:r>
          </w:p>
          <w:p w:rsidR="008D43E7" w:rsidRPr="008D43E7" w:rsidRDefault="008D43E7" w:rsidP="008D43E7">
            <w:p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b/>
                <w:bCs/>
                <w:color w:val="000000"/>
                <w:sz w:val="19"/>
              </w:rPr>
              <w:t>Check.</w:t>
            </w:r>
            <w:r w:rsidRPr="008D43E7">
              <w:rPr>
                <w:rFonts w:ascii="Verdana" w:eastAsia="Times New Roman" w:hAnsi="Verdana" w:cs="Times New Roman"/>
                <w:color w:val="000000"/>
                <w:sz w:val="19"/>
                <w:szCs w:val="19"/>
              </w:rPr>
              <w:t xml:space="preserve"> The “check” step is called “assess” in this example. Formal and informal assessments take place continually, from daily teacher “dipstick” assessments to every-six-weeks progress reports to annual standardized tests. Teachers also can access </w:t>
            </w:r>
            <w:r w:rsidRPr="008D43E7">
              <w:rPr>
                <w:rFonts w:ascii="Verdana" w:eastAsia="Times New Roman" w:hAnsi="Verdana" w:cs="Times New Roman"/>
                <w:color w:val="000000"/>
                <w:sz w:val="19"/>
                <w:szCs w:val="19"/>
              </w:rPr>
              <w:lastRenderedPageBreak/>
              <w:t xml:space="preserve">comparative data on the electronic database to identify trends. High-need students are monitored by a special child study team. </w:t>
            </w:r>
          </w:p>
          <w:p w:rsidR="008D43E7" w:rsidRPr="008D43E7" w:rsidRDefault="008D43E7" w:rsidP="008D43E7">
            <w:p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Throughout the school year, if assessments show students are not learning as expected, mid-course corrections are made such as re-instruction, changing teaching methods and more direct teacher mentoring. Assessment data become input for the next step in the cycle. </w:t>
            </w:r>
          </w:p>
          <w:p w:rsidR="008D43E7" w:rsidRPr="008D43E7" w:rsidRDefault="008D43E7" w:rsidP="008D43E7">
            <w:p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b/>
                <w:bCs/>
                <w:color w:val="000000"/>
                <w:sz w:val="19"/>
              </w:rPr>
              <w:t>Act.</w:t>
            </w:r>
            <w:r w:rsidRPr="008D43E7">
              <w:rPr>
                <w:rFonts w:ascii="Verdana" w:eastAsia="Times New Roman" w:hAnsi="Verdana" w:cs="Times New Roman"/>
                <w:color w:val="000000"/>
                <w:sz w:val="19"/>
                <w:szCs w:val="19"/>
              </w:rPr>
              <w:t xml:space="preserve"> In this example the “act” step is called “standardize.” When goals are met, the curriculum design and teaching methods are considered standardized. Teachers share best practices in formal and informal settings. Results from this cycle become input for the “analyze” phase of the next A+ cycle. </w:t>
            </w:r>
          </w:p>
          <w:p w:rsidR="008D43E7" w:rsidRPr="008D43E7" w:rsidRDefault="008D43E7" w:rsidP="008D43E7">
            <w:pPr>
              <w:spacing w:before="100" w:beforeAutospacing="1" w:after="100" w:afterAutospacing="1" w:line="228" w:lineRule="atLeast"/>
              <w:rPr>
                <w:rFonts w:ascii="Verdana" w:eastAsia="Times New Roman" w:hAnsi="Verdana" w:cs="Times New Roman"/>
                <w:color w:val="000000"/>
                <w:sz w:val="19"/>
                <w:szCs w:val="19"/>
              </w:rPr>
            </w:pPr>
            <w:r w:rsidRPr="008D43E7">
              <w:rPr>
                <w:rFonts w:ascii="Verdana" w:eastAsia="Times New Roman" w:hAnsi="Verdana" w:cs="Times New Roman"/>
                <w:color w:val="000000"/>
                <w:sz w:val="19"/>
                <w:szCs w:val="19"/>
              </w:rPr>
              <w:t xml:space="preserve">Excerpted from Nancy R. </w:t>
            </w:r>
            <w:proofErr w:type="spellStart"/>
            <w:r w:rsidRPr="008D43E7">
              <w:rPr>
                <w:rFonts w:ascii="Verdana" w:eastAsia="Times New Roman" w:hAnsi="Verdana" w:cs="Times New Roman"/>
                <w:color w:val="000000"/>
                <w:sz w:val="19"/>
                <w:szCs w:val="19"/>
              </w:rPr>
              <w:t>Tague’s</w:t>
            </w:r>
            <w:proofErr w:type="spellEnd"/>
            <w:r w:rsidRPr="008D43E7">
              <w:rPr>
                <w:rFonts w:ascii="Verdana" w:eastAsia="Times New Roman" w:hAnsi="Verdana" w:cs="Times New Roman"/>
                <w:color w:val="000000"/>
                <w:sz w:val="19"/>
                <w:szCs w:val="19"/>
              </w:rPr>
              <w:t xml:space="preserve"> </w:t>
            </w:r>
            <w:hyperlink r:id="rId12" w:tgtFrame="_blank" w:history="1">
              <w:r w:rsidRPr="008D43E7">
                <w:rPr>
                  <w:rFonts w:ascii="Verdana" w:eastAsia="Times New Roman" w:hAnsi="Verdana" w:cs="Times New Roman"/>
                  <w:color w:val="194B96"/>
                  <w:sz w:val="19"/>
                  <w:u w:val="single"/>
                </w:rPr>
                <w:t>The Quality Toolbox</w:t>
              </w:r>
            </w:hyperlink>
            <w:r w:rsidRPr="008D43E7">
              <w:rPr>
                <w:rFonts w:ascii="Verdana" w:eastAsia="Times New Roman" w:hAnsi="Verdana" w:cs="Times New Roman"/>
                <w:color w:val="000000"/>
                <w:sz w:val="19"/>
                <w:szCs w:val="19"/>
              </w:rPr>
              <w:t xml:space="preserve">, Second Edition, ASQ Quality Press, 2004, pages 390-392. </w:t>
            </w:r>
          </w:p>
        </w:tc>
        <w:tc>
          <w:tcPr>
            <w:tcW w:w="2250" w:type="dxa"/>
            <w:hideMark/>
          </w:tcPr>
          <w:p w:rsidR="008D43E7" w:rsidRPr="008D43E7" w:rsidRDefault="008D43E7" w:rsidP="008D43E7">
            <w:pPr>
              <w:shd w:val="clear" w:color="auto" w:fill="EBEBEB"/>
              <w:spacing w:after="240" w:line="228" w:lineRule="atLeast"/>
              <w:rPr>
                <w:rFonts w:ascii="Verdana" w:eastAsia="Times New Roman" w:hAnsi="Verdana" w:cs="Times New Roman"/>
                <w:color w:val="666666"/>
                <w:sz w:val="19"/>
                <w:szCs w:val="19"/>
              </w:rPr>
            </w:pPr>
            <w:r w:rsidRPr="008D43E7">
              <w:rPr>
                <w:rFonts w:ascii="Verdana" w:eastAsia="Times New Roman" w:hAnsi="Verdana" w:cs="Times New Roman"/>
                <w:b/>
                <w:bCs/>
                <w:color w:val="194B96"/>
                <w:sz w:val="19"/>
                <w:szCs w:val="19"/>
              </w:rPr>
              <w:lastRenderedPageBreak/>
              <w:t xml:space="preserve">MP3 </w:t>
            </w:r>
            <w:proofErr w:type="spellStart"/>
            <w:r w:rsidRPr="008D43E7">
              <w:rPr>
                <w:rFonts w:ascii="Verdana" w:eastAsia="Times New Roman" w:hAnsi="Verdana" w:cs="Times New Roman"/>
                <w:b/>
                <w:bCs/>
                <w:color w:val="194B96"/>
                <w:sz w:val="19"/>
                <w:szCs w:val="19"/>
              </w:rPr>
              <w:t>Audiocasts</w:t>
            </w:r>
            <w:proofErr w:type="spellEnd"/>
            <w:r w:rsidRPr="008D43E7">
              <w:rPr>
                <w:rFonts w:ascii="Verdana" w:eastAsia="Times New Roman" w:hAnsi="Verdana" w:cs="Times New Roman"/>
                <w:color w:val="666666"/>
                <w:sz w:val="19"/>
                <w:szCs w:val="19"/>
              </w:rPr>
              <w:br/>
              <w:t xml:space="preserve">Listen to MP3 </w:t>
            </w:r>
            <w:proofErr w:type="spellStart"/>
            <w:r w:rsidRPr="008D43E7">
              <w:rPr>
                <w:rFonts w:ascii="Verdana" w:eastAsia="Times New Roman" w:hAnsi="Verdana" w:cs="Times New Roman"/>
                <w:color w:val="666666"/>
                <w:sz w:val="19"/>
                <w:szCs w:val="19"/>
              </w:rPr>
              <w:t>audiocasts</w:t>
            </w:r>
            <w:proofErr w:type="spellEnd"/>
            <w:r w:rsidRPr="008D43E7">
              <w:rPr>
                <w:rFonts w:ascii="Verdana" w:eastAsia="Times New Roman" w:hAnsi="Verdana" w:cs="Times New Roman"/>
                <w:color w:val="666666"/>
                <w:sz w:val="19"/>
                <w:szCs w:val="19"/>
              </w:rPr>
              <w:t xml:space="preserve"> about the PDCA cycle and its application:</w:t>
            </w:r>
          </w:p>
          <w:p w:rsidR="008D43E7" w:rsidRPr="008D43E7" w:rsidRDefault="008D43E7" w:rsidP="008D43E7">
            <w:pPr>
              <w:numPr>
                <w:ilvl w:val="0"/>
                <w:numId w:val="5"/>
              </w:numPr>
              <w:shd w:val="clear" w:color="auto" w:fill="EBEBEB"/>
              <w:spacing w:after="0" w:line="228" w:lineRule="atLeast"/>
              <w:ind w:left="0"/>
              <w:rPr>
                <w:rFonts w:ascii="Verdana" w:eastAsia="Times New Roman" w:hAnsi="Verdana" w:cs="Times New Roman"/>
                <w:color w:val="FFFFFF"/>
                <w:sz w:val="19"/>
                <w:szCs w:val="19"/>
              </w:rPr>
            </w:pPr>
            <w:hyperlink r:id="rId13" w:history="1">
              <w:r w:rsidRPr="008D43E7">
                <w:rPr>
                  <w:rFonts w:ascii="Verdana" w:eastAsia="Times New Roman" w:hAnsi="Verdana" w:cs="Times New Roman"/>
                  <w:color w:val="194B96"/>
                  <w:sz w:val="19"/>
                  <w:u w:val="single"/>
                </w:rPr>
                <w:t>Listen now</w:t>
              </w:r>
            </w:hyperlink>
            <w:r w:rsidRPr="008D43E7">
              <w:rPr>
                <w:rFonts w:ascii="Verdana" w:eastAsia="Times New Roman" w:hAnsi="Verdana" w:cs="Times New Roman"/>
                <w:color w:val="FFFFFF"/>
                <w:sz w:val="19"/>
                <w:szCs w:val="19"/>
              </w:rPr>
              <w:t xml:space="preserve"> </w:t>
            </w:r>
          </w:p>
          <w:p w:rsidR="008D43E7" w:rsidRPr="008D43E7" w:rsidRDefault="008D43E7" w:rsidP="008D43E7">
            <w:pPr>
              <w:spacing w:after="0" w:line="228" w:lineRule="atLeast"/>
              <w:rPr>
                <w:rFonts w:ascii="Verdana" w:eastAsia="Times New Roman" w:hAnsi="Verdana" w:cs="Times New Roman"/>
                <w:color w:val="000000"/>
                <w:sz w:val="19"/>
                <w:szCs w:val="19"/>
              </w:rPr>
            </w:pPr>
          </w:p>
        </w:tc>
      </w:tr>
    </w:tbl>
    <w:p w:rsidR="008D43E7" w:rsidRPr="008D43E7" w:rsidRDefault="008D43E7" w:rsidP="008D43E7">
      <w:pPr>
        <w:spacing w:before="100" w:beforeAutospacing="1" w:after="100" w:afterAutospacing="1" w:line="228" w:lineRule="atLeast"/>
        <w:jc w:val="center"/>
        <w:rPr>
          <w:rFonts w:ascii="Verdana" w:eastAsia="Times New Roman" w:hAnsi="Verdana" w:cs="Times New Roman"/>
          <w:color w:val="666666"/>
          <w:sz w:val="17"/>
          <w:szCs w:val="17"/>
        </w:rPr>
      </w:pPr>
      <w:hyperlink r:id="rId14" w:history="1">
        <w:r w:rsidRPr="008D43E7">
          <w:rPr>
            <w:rFonts w:ascii="Verdana" w:eastAsia="Times New Roman" w:hAnsi="Verdana" w:cs="Times New Roman"/>
            <w:color w:val="666666"/>
            <w:sz w:val="17"/>
            <w:szCs w:val="17"/>
          </w:rPr>
          <w:t>Home</w:t>
        </w:r>
      </w:hyperlink>
      <w:r w:rsidRPr="008D43E7">
        <w:rPr>
          <w:rFonts w:ascii="Verdana" w:eastAsia="Times New Roman" w:hAnsi="Verdana" w:cs="Times New Roman"/>
          <w:color w:val="666666"/>
          <w:sz w:val="17"/>
          <w:szCs w:val="17"/>
        </w:rPr>
        <w:t xml:space="preserve"> | </w:t>
      </w:r>
      <w:hyperlink r:id="rId15" w:history="1">
        <w:r w:rsidRPr="008D43E7">
          <w:rPr>
            <w:rFonts w:ascii="Verdana" w:eastAsia="Times New Roman" w:hAnsi="Verdana" w:cs="Times New Roman"/>
            <w:color w:val="666666"/>
            <w:sz w:val="17"/>
            <w:szCs w:val="17"/>
          </w:rPr>
          <w:t>Contact ASQ</w:t>
        </w:r>
      </w:hyperlink>
      <w:r w:rsidRPr="008D43E7">
        <w:rPr>
          <w:rFonts w:ascii="Verdana" w:eastAsia="Times New Roman" w:hAnsi="Verdana" w:cs="Times New Roman"/>
          <w:color w:val="666666"/>
          <w:sz w:val="17"/>
          <w:szCs w:val="17"/>
        </w:rPr>
        <w:t xml:space="preserve"> | </w:t>
      </w:r>
      <w:hyperlink r:id="rId16" w:history="1">
        <w:r w:rsidRPr="008D43E7">
          <w:rPr>
            <w:rFonts w:ascii="Verdana" w:eastAsia="Times New Roman" w:hAnsi="Verdana" w:cs="Times New Roman"/>
            <w:color w:val="666666"/>
            <w:sz w:val="17"/>
            <w:szCs w:val="17"/>
          </w:rPr>
          <w:t xml:space="preserve">Customer Service </w:t>
        </w:r>
      </w:hyperlink>
      <w:r w:rsidRPr="008D43E7">
        <w:rPr>
          <w:rFonts w:ascii="Verdana" w:eastAsia="Times New Roman" w:hAnsi="Verdana" w:cs="Times New Roman"/>
          <w:color w:val="666666"/>
          <w:sz w:val="17"/>
          <w:szCs w:val="17"/>
        </w:rPr>
        <w:t xml:space="preserve">| </w:t>
      </w:r>
      <w:hyperlink r:id="rId17" w:history="1">
        <w:r w:rsidRPr="008D43E7">
          <w:rPr>
            <w:rFonts w:ascii="Verdana" w:eastAsia="Times New Roman" w:hAnsi="Verdana" w:cs="Times New Roman"/>
            <w:color w:val="666666"/>
            <w:sz w:val="17"/>
            <w:szCs w:val="17"/>
          </w:rPr>
          <w:t>© Copyright</w:t>
        </w:r>
      </w:hyperlink>
      <w:r w:rsidRPr="008D43E7">
        <w:rPr>
          <w:rFonts w:ascii="Verdana" w:eastAsia="Times New Roman" w:hAnsi="Verdana" w:cs="Times New Roman"/>
          <w:color w:val="666666"/>
          <w:sz w:val="17"/>
          <w:szCs w:val="17"/>
        </w:rPr>
        <w:t xml:space="preserve"> | </w:t>
      </w:r>
      <w:hyperlink r:id="rId18" w:history="1">
        <w:r w:rsidRPr="008D43E7">
          <w:rPr>
            <w:rFonts w:ascii="Verdana" w:eastAsia="Times New Roman" w:hAnsi="Verdana" w:cs="Times New Roman"/>
            <w:color w:val="666666"/>
            <w:sz w:val="17"/>
            <w:szCs w:val="17"/>
          </w:rPr>
          <w:t>Privacy Policy</w:t>
        </w:r>
      </w:hyperlink>
      <w:r w:rsidRPr="008D43E7">
        <w:rPr>
          <w:rFonts w:ascii="Verdana" w:eastAsia="Times New Roman" w:hAnsi="Verdana" w:cs="Times New Roman"/>
          <w:color w:val="666666"/>
          <w:sz w:val="17"/>
          <w:szCs w:val="17"/>
        </w:rPr>
        <w:t xml:space="preserve"> | </w:t>
      </w:r>
      <w:hyperlink r:id="rId19" w:history="1">
        <w:r w:rsidRPr="008D43E7">
          <w:rPr>
            <w:rFonts w:ascii="Verdana" w:eastAsia="Times New Roman" w:hAnsi="Verdana" w:cs="Times New Roman"/>
            <w:color w:val="666666"/>
            <w:sz w:val="17"/>
            <w:szCs w:val="17"/>
          </w:rPr>
          <w:t>Advertising &amp; Sponsorship</w:t>
        </w:r>
      </w:hyperlink>
      <w:r w:rsidRPr="008D43E7">
        <w:rPr>
          <w:rFonts w:ascii="Verdana" w:eastAsia="Times New Roman" w:hAnsi="Verdana" w:cs="Times New Roman"/>
          <w:color w:val="666666"/>
          <w:sz w:val="17"/>
          <w:szCs w:val="17"/>
        </w:rPr>
        <w:t xml:space="preserve"> </w:t>
      </w:r>
      <w:r w:rsidRPr="008D43E7">
        <w:rPr>
          <w:rFonts w:ascii="Verdana" w:eastAsia="Times New Roman" w:hAnsi="Verdana" w:cs="Times New Roman"/>
          <w:color w:val="666666"/>
          <w:sz w:val="17"/>
          <w:szCs w:val="17"/>
        </w:rPr>
        <w:br/>
        <w:t xml:space="preserve">  </w:t>
      </w:r>
      <w:r w:rsidRPr="008D43E7">
        <w:rPr>
          <w:rFonts w:ascii="Verdana" w:eastAsia="Times New Roman" w:hAnsi="Verdana" w:cs="Times New Roman"/>
          <w:color w:val="666666"/>
          <w:sz w:val="17"/>
          <w:szCs w:val="17"/>
        </w:rPr>
        <w:br/>
      </w:r>
      <w:hyperlink r:id="rId20" w:history="1">
        <w:r w:rsidRPr="008D43E7">
          <w:rPr>
            <w:rFonts w:ascii="Verdana" w:eastAsia="Times New Roman" w:hAnsi="Verdana" w:cs="Times New Roman"/>
            <w:color w:val="666666"/>
            <w:sz w:val="17"/>
            <w:szCs w:val="17"/>
          </w:rPr>
          <w:t>Site Map</w:t>
        </w:r>
      </w:hyperlink>
      <w:r w:rsidRPr="008D43E7">
        <w:rPr>
          <w:rFonts w:ascii="Verdana" w:eastAsia="Times New Roman" w:hAnsi="Verdana" w:cs="Times New Roman"/>
          <w:color w:val="666666"/>
          <w:sz w:val="17"/>
          <w:szCs w:val="17"/>
        </w:rPr>
        <w:t xml:space="preserve"> | </w:t>
      </w:r>
      <w:hyperlink r:id="rId21" w:history="1">
        <w:r w:rsidRPr="008D43E7">
          <w:rPr>
            <w:rFonts w:ascii="Verdana" w:eastAsia="Times New Roman" w:hAnsi="Verdana" w:cs="Times New Roman"/>
            <w:color w:val="666666"/>
            <w:sz w:val="17"/>
            <w:szCs w:val="17"/>
          </w:rPr>
          <w:t>Links</w:t>
        </w:r>
      </w:hyperlink>
    </w:p>
    <w:p w:rsidR="00F2788C" w:rsidRDefault="00F2788C"/>
    <w:sectPr w:rsidR="00F2788C" w:rsidSect="00F2788C">
      <w:headerReference w:type="default" r:id="rId2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0EE5" w:rsidRDefault="00C10EE5" w:rsidP="008D43E7">
      <w:pPr>
        <w:spacing w:after="0" w:line="240" w:lineRule="auto"/>
      </w:pPr>
      <w:r>
        <w:separator/>
      </w:r>
    </w:p>
  </w:endnote>
  <w:endnote w:type="continuationSeparator" w:id="0">
    <w:p w:rsidR="00C10EE5" w:rsidRDefault="00C10EE5" w:rsidP="008D43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0EE5" w:rsidRDefault="00C10EE5" w:rsidP="008D43E7">
      <w:pPr>
        <w:spacing w:after="0" w:line="240" w:lineRule="auto"/>
      </w:pPr>
      <w:r>
        <w:separator/>
      </w:r>
    </w:p>
  </w:footnote>
  <w:footnote w:type="continuationSeparator" w:id="0">
    <w:p w:rsidR="00C10EE5" w:rsidRDefault="00C10EE5" w:rsidP="008D43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3E7" w:rsidRDefault="008D43E7">
    <w:pPr>
      <w:pStyle w:val="Header"/>
    </w:pPr>
    <w:r w:rsidRPr="008D43E7">
      <w:t>http://asq.org/learn-about-quality/project-planning-tools/overview/pdca-cycle.html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6A085E"/>
    <w:multiLevelType w:val="multilevel"/>
    <w:tmpl w:val="6768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9020E0"/>
    <w:multiLevelType w:val="multilevel"/>
    <w:tmpl w:val="D5385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6E38D9"/>
    <w:multiLevelType w:val="multilevel"/>
    <w:tmpl w:val="B030A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CD6FBD"/>
    <w:multiLevelType w:val="multilevel"/>
    <w:tmpl w:val="E7FEB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07D6983"/>
    <w:multiLevelType w:val="multilevel"/>
    <w:tmpl w:val="3C3EA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5"/>
  <w:proofState w:spelling="clean" w:grammar="clean"/>
  <w:defaultTabStop w:val="720"/>
  <w:characterSpacingControl w:val="doNotCompress"/>
  <w:footnotePr>
    <w:footnote w:id="-1"/>
    <w:footnote w:id="0"/>
  </w:footnotePr>
  <w:endnotePr>
    <w:endnote w:id="-1"/>
    <w:endnote w:id="0"/>
  </w:endnotePr>
  <w:compat>
    <w:useFELayout/>
  </w:compat>
  <w:rsids>
    <w:rsidRoot w:val="008D43E7"/>
    <w:rsid w:val="00001D8C"/>
    <w:rsid w:val="000022BC"/>
    <w:rsid w:val="000051E4"/>
    <w:rsid w:val="00015198"/>
    <w:rsid w:val="00017F3E"/>
    <w:rsid w:val="00023306"/>
    <w:rsid w:val="00025442"/>
    <w:rsid w:val="0002552C"/>
    <w:rsid w:val="000261DE"/>
    <w:rsid w:val="000318A9"/>
    <w:rsid w:val="00031C69"/>
    <w:rsid w:val="00032F8F"/>
    <w:rsid w:val="00033F87"/>
    <w:rsid w:val="000350A4"/>
    <w:rsid w:val="00041EA2"/>
    <w:rsid w:val="000450D5"/>
    <w:rsid w:val="0004632D"/>
    <w:rsid w:val="00047C6A"/>
    <w:rsid w:val="00047F58"/>
    <w:rsid w:val="00056A52"/>
    <w:rsid w:val="0006097C"/>
    <w:rsid w:val="00062528"/>
    <w:rsid w:val="00062B85"/>
    <w:rsid w:val="000662B0"/>
    <w:rsid w:val="00066466"/>
    <w:rsid w:val="000673B2"/>
    <w:rsid w:val="00072150"/>
    <w:rsid w:val="00075203"/>
    <w:rsid w:val="0007570D"/>
    <w:rsid w:val="000765A1"/>
    <w:rsid w:val="000814AD"/>
    <w:rsid w:val="00092632"/>
    <w:rsid w:val="00095B95"/>
    <w:rsid w:val="00097B8C"/>
    <w:rsid w:val="000A131E"/>
    <w:rsid w:val="000A29FE"/>
    <w:rsid w:val="000A4878"/>
    <w:rsid w:val="000A54E9"/>
    <w:rsid w:val="000A5612"/>
    <w:rsid w:val="000B27B1"/>
    <w:rsid w:val="000B35BE"/>
    <w:rsid w:val="000B49AE"/>
    <w:rsid w:val="000B4A90"/>
    <w:rsid w:val="000C04E2"/>
    <w:rsid w:val="000C06E2"/>
    <w:rsid w:val="000C0966"/>
    <w:rsid w:val="000C1410"/>
    <w:rsid w:val="000C1B42"/>
    <w:rsid w:val="000C218A"/>
    <w:rsid w:val="000C2B10"/>
    <w:rsid w:val="000C2E34"/>
    <w:rsid w:val="000C4B7D"/>
    <w:rsid w:val="000C4DD1"/>
    <w:rsid w:val="000C50AF"/>
    <w:rsid w:val="000C7ECC"/>
    <w:rsid w:val="000D2ADC"/>
    <w:rsid w:val="000D505F"/>
    <w:rsid w:val="000D6808"/>
    <w:rsid w:val="000D789C"/>
    <w:rsid w:val="000E155F"/>
    <w:rsid w:val="000E4A5F"/>
    <w:rsid w:val="000E67C5"/>
    <w:rsid w:val="000E799A"/>
    <w:rsid w:val="000F0409"/>
    <w:rsid w:val="000F11F3"/>
    <w:rsid w:val="000F3EED"/>
    <w:rsid w:val="000F6A96"/>
    <w:rsid w:val="000F6BF6"/>
    <w:rsid w:val="00102875"/>
    <w:rsid w:val="00102FA5"/>
    <w:rsid w:val="00103752"/>
    <w:rsid w:val="001038F5"/>
    <w:rsid w:val="001070D3"/>
    <w:rsid w:val="001149F7"/>
    <w:rsid w:val="00121480"/>
    <w:rsid w:val="00124025"/>
    <w:rsid w:val="001266A9"/>
    <w:rsid w:val="0012680B"/>
    <w:rsid w:val="001327A1"/>
    <w:rsid w:val="001332AA"/>
    <w:rsid w:val="001343C1"/>
    <w:rsid w:val="0013533F"/>
    <w:rsid w:val="00136AFD"/>
    <w:rsid w:val="001371AC"/>
    <w:rsid w:val="00146D8A"/>
    <w:rsid w:val="001471FD"/>
    <w:rsid w:val="00147F5E"/>
    <w:rsid w:val="001520BF"/>
    <w:rsid w:val="00160C54"/>
    <w:rsid w:val="0016242F"/>
    <w:rsid w:val="00162A3C"/>
    <w:rsid w:val="00163CF1"/>
    <w:rsid w:val="00165957"/>
    <w:rsid w:val="00167619"/>
    <w:rsid w:val="00170989"/>
    <w:rsid w:val="0017413C"/>
    <w:rsid w:val="00175818"/>
    <w:rsid w:val="00177096"/>
    <w:rsid w:val="0018084E"/>
    <w:rsid w:val="00182198"/>
    <w:rsid w:val="00183CDC"/>
    <w:rsid w:val="00186BD1"/>
    <w:rsid w:val="001925D7"/>
    <w:rsid w:val="00192C33"/>
    <w:rsid w:val="0019473D"/>
    <w:rsid w:val="00195DA5"/>
    <w:rsid w:val="00195E0C"/>
    <w:rsid w:val="00196CC9"/>
    <w:rsid w:val="00197C1F"/>
    <w:rsid w:val="001A1798"/>
    <w:rsid w:val="001A5F54"/>
    <w:rsid w:val="001B04D1"/>
    <w:rsid w:val="001B496E"/>
    <w:rsid w:val="001B6074"/>
    <w:rsid w:val="001C03D8"/>
    <w:rsid w:val="001C17ED"/>
    <w:rsid w:val="001C534F"/>
    <w:rsid w:val="001C5B66"/>
    <w:rsid w:val="001C615F"/>
    <w:rsid w:val="001C6319"/>
    <w:rsid w:val="001D1265"/>
    <w:rsid w:val="001D1CAD"/>
    <w:rsid w:val="001D47DE"/>
    <w:rsid w:val="001D5E5D"/>
    <w:rsid w:val="001D6159"/>
    <w:rsid w:val="001E01DD"/>
    <w:rsid w:val="001E41F1"/>
    <w:rsid w:val="001F1AC3"/>
    <w:rsid w:val="001F1D4A"/>
    <w:rsid w:val="001F2AAD"/>
    <w:rsid w:val="001F4B0B"/>
    <w:rsid w:val="001F647D"/>
    <w:rsid w:val="001F7C67"/>
    <w:rsid w:val="001F7E20"/>
    <w:rsid w:val="00202A8C"/>
    <w:rsid w:val="00204761"/>
    <w:rsid w:val="00206778"/>
    <w:rsid w:val="00207FFB"/>
    <w:rsid w:val="00217255"/>
    <w:rsid w:val="00221E23"/>
    <w:rsid w:val="00222A06"/>
    <w:rsid w:val="0022391A"/>
    <w:rsid w:val="002258A9"/>
    <w:rsid w:val="00234B73"/>
    <w:rsid w:val="00241BAC"/>
    <w:rsid w:val="00245752"/>
    <w:rsid w:val="002463E1"/>
    <w:rsid w:val="0025034F"/>
    <w:rsid w:val="002516F3"/>
    <w:rsid w:val="0025536E"/>
    <w:rsid w:val="00255A0E"/>
    <w:rsid w:val="002567EA"/>
    <w:rsid w:val="00257C4E"/>
    <w:rsid w:val="00260B70"/>
    <w:rsid w:val="00262987"/>
    <w:rsid w:val="002637C1"/>
    <w:rsid w:val="00266057"/>
    <w:rsid w:val="002668F9"/>
    <w:rsid w:val="00267B3E"/>
    <w:rsid w:val="00271ACE"/>
    <w:rsid w:val="0027692A"/>
    <w:rsid w:val="00281A71"/>
    <w:rsid w:val="00282902"/>
    <w:rsid w:val="002953AF"/>
    <w:rsid w:val="0029707A"/>
    <w:rsid w:val="0029756B"/>
    <w:rsid w:val="002A2B11"/>
    <w:rsid w:val="002B5E62"/>
    <w:rsid w:val="002C1679"/>
    <w:rsid w:val="002C24C0"/>
    <w:rsid w:val="002C3F9D"/>
    <w:rsid w:val="002C6DA9"/>
    <w:rsid w:val="002C7927"/>
    <w:rsid w:val="002D1227"/>
    <w:rsid w:val="002D1563"/>
    <w:rsid w:val="002D1CEE"/>
    <w:rsid w:val="002D76E9"/>
    <w:rsid w:val="002E0D82"/>
    <w:rsid w:val="002E3D65"/>
    <w:rsid w:val="002E4076"/>
    <w:rsid w:val="002E7295"/>
    <w:rsid w:val="002F44E4"/>
    <w:rsid w:val="002F4595"/>
    <w:rsid w:val="002F4E31"/>
    <w:rsid w:val="003014C9"/>
    <w:rsid w:val="00301ED7"/>
    <w:rsid w:val="00302579"/>
    <w:rsid w:val="0030372E"/>
    <w:rsid w:val="00305179"/>
    <w:rsid w:val="00305FBF"/>
    <w:rsid w:val="00312B92"/>
    <w:rsid w:val="0031481A"/>
    <w:rsid w:val="00315BF4"/>
    <w:rsid w:val="00322F04"/>
    <w:rsid w:val="00324D86"/>
    <w:rsid w:val="00325293"/>
    <w:rsid w:val="00325F8F"/>
    <w:rsid w:val="00327336"/>
    <w:rsid w:val="00331912"/>
    <w:rsid w:val="00332A87"/>
    <w:rsid w:val="00332BC1"/>
    <w:rsid w:val="00333E37"/>
    <w:rsid w:val="00334898"/>
    <w:rsid w:val="00340139"/>
    <w:rsid w:val="00340AAF"/>
    <w:rsid w:val="00340B9C"/>
    <w:rsid w:val="00350ED9"/>
    <w:rsid w:val="0035187E"/>
    <w:rsid w:val="00355256"/>
    <w:rsid w:val="00360C75"/>
    <w:rsid w:val="0036164F"/>
    <w:rsid w:val="003620AE"/>
    <w:rsid w:val="00367CAE"/>
    <w:rsid w:val="003730AD"/>
    <w:rsid w:val="003737C1"/>
    <w:rsid w:val="00376468"/>
    <w:rsid w:val="003767A9"/>
    <w:rsid w:val="00377BAB"/>
    <w:rsid w:val="00380D29"/>
    <w:rsid w:val="00382CF8"/>
    <w:rsid w:val="00383AFB"/>
    <w:rsid w:val="00385AFF"/>
    <w:rsid w:val="00386319"/>
    <w:rsid w:val="0038649B"/>
    <w:rsid w:val="0039095B"/>
    <w:rsid w:val="00390D07"/>
    <w:rsid w:val="003921BC"/>
    <w:rsid w:val="003923AD"/>
    <w:rsid w:val="00392E87"/>
    <w:rsid w:val="0039530A"/>
    <w:rsid w:val="00396A97"/>
    <w:rsid w:val="0039722E"/>
    <w:rsid w:val="003976EF"/>
    <w:rsid w:val="003A0C05"/>
    <w:rsid w:val="003A1359"/>
    <w:rsid w:val="003A303A"/>
    <w:rsid w:val="003A457A"/>
    <w:rsid w:val="003A5D04"/>
    <w:rsid w:val="003A65FC"/>
    <w:rsid w:val="003A7CE5"/>
    <w:rsid w:val="003B2901"/>
    <w:rsid w:val="003B2966"/>
    <w:rsid w:val="003B4854"/>
    <w:rsid w:val="003B5FBE"/>
    <w:rsid w:val="003C232C"/>
    <w:rsid w:val="003C57B2"/>
    <w:rsid w:val="003C5DBD"/>
    <w:rsid w:val="003D036E"/>
    <w:rsid w:val="003D2B71"/>
    <w:rsid w:val="003D4AFB"/>
    <w:rsid w:val="003E073C"/>
    <w:rsid w:val="003E1853"/>
    <w:rsid w:val="003E206C"/>
    <w:rsid w:val="003E38E9"/>
    <w:rsid w:val="003F0869"/>
    <w:rsid w:val="003F0914"/>
    <w:rsid w:val="003F2618"/>
    <w:rsid w:val="003F61CE"/>
    <w:rsid w:val="003F7EC3"/>
    <w:rsid w:val="004020C0"/>
    <w:rsid w:val="00402F14"/>
    <w:rsid w:val="004053D6"/>
    <w:rsid w:val="0040772F"/>
    <w:rsid w:val="004111CF"/>
    <w:rsid w:val="0041160B"/>
    <w:rsid w:val="00420CE3"/>
    <w:rsid w:val="00421136"/>
    <w:rsid w:val="00422684"/>
    <w:rsid w:val="004229B2"/>
    <w:rsid w:val="00422FD5"/>
    <w:rsid w:val="00426253"/>
    <w:rsid w:val="00434B8F"/>
    <w:rsid w:val="00435401"/>
    <w:rsid w:val="00436DEF"/>
    <w:rsid w:val="0044076B"/>
    <w:rsid w:val="00443B6E"/>
    <w:rsid w:val="00445D9C"/>
    <w:rsid w:val="00445F49"/>
    <w:rsid w:val="00447216"/>
    <w:rsid w:val="00457B6A"/>
    <w:rsid w:val="00461D10"/>
    <w:rsid w:val="004642AA"/>
    <w:rsid w:val="00464FE4"/>
    <w:rsid w:val="00466EF9"/>
    <w:rsid w:val="00472A0A"/>
    <w:rsid w:val="00472ECF"/>
    <w:rsid w:val="0047301B"/>
    <w:rsid w:val="00480C6B"/>
    <w:rsid w:val="00481E37"/>
    <w:rsid w:val="00482F33"/>
    <w:rsid w:val="00485D0A"/>
    <w:rsid w:val="00486C86"/>
    <w:rsid w:val="00491B45"/>
    <w:rsid w:val="00491EC6"/>
    <w:rsid w:val="00492B6E"/>
    <w:rsid w:val="004B0ADC"/>
    <w:rsid w:val="004B0DFA"/>
    <w:rsid w:val="004B7072"/>
    <w:rsid w:val="004C15AA"/>
    <w:rsid w:val="004C3000"/>
    <w:rsid w:val="004C3CAA"/>
    <w:rsid w:val="004C5C2B"/>
    <w:rsid w:val="004C630D"/>
    <w:rsid w:val="004D00D5"/>
    <w:rsid w:val="004D1B68"/>
    <w:rsid w:val="004E1826"/>
    <w:rsid w:val="004E4D5A"/>
    <w:rsid w:val="004E5B99"/>
    <w:rsid w:val="004F0288"/>
    <w:rsid w:val="004F1F52"/>
    <w:rsid w:val="004F3917"/>
    <w:rsid w:val="0050189E"/>
    <w:rsid w:val="0050558D"/>
    <w:rsid w:val="00506B92"/>
    <w:rsid w:val="00511378"/>
    <w:rsid w:val="00513626"/>
    <w:rsid w:val="00513CD2"/>
    <w:rsid w:val="00520D33"/>
    <w:rsid w:val="00521234"/>
    <w:rsid w:val="00522F1E"/>
    <w:rsid w:val="005244D5"/>
    <w:rsid w:val="00525C5F"/>
    <w:rsid w:val="005274B7"/>
    <w:rsid w:val="0053296D"/>
    <w:rsid w:val="00533280"/>
    <w:rsid w:val="00537F51"/>
    <w:rsid w:val="00540A31"/>
    <w:rsid w:val="00541E33"/>
    <w:rsid w:val="005423D5"/>
    <w:rsid w:val="00545386"/>
    <w:rsid w:val="00547D07"/>
    <w:rsid w:val="005520CA"/>
    <w:rsid w:val="00552EF6"/>
    <w:rsid w:val="00557287"/>
    <w:rsid w:val="00557A52"/>
    <w:rsid w:val="00560EA7"/>
    <w:rsid w:val="00562DD8"/>
    <w:rsid w:val="00565235"/>
    <w:rsid w:val="00567C84"/>
    <w:rsid w:val="00570554"/>
    <w:rsid w:val="00571802"/>
    <w:rsid w:val="00571824"/>
    <w:rsid w:val="00571FAE"/>
    <w:rsid w:val="005738E7"/>
    <w:rsid w:val="005774DE"/>
    <w:rsid w:val="0058212F"/>
    <w:rsid w:val="005838BE"/>
    <w:rsid w:val="00585CBE"/>
    <w:rsid w:val="00585E86"/>
    <w:rsid w:val="00586067"/>
    <w:rsid w:val="0059069A"/>
    <w:rsid w:val="005907D4"/>
    <w:rsid w:val="005929BA"/>
    <w:rsid w:val="00593716"/>
    <w:rsid w:val="00595A55"/>
    <w:rsid w:val="00595C3C"/>
    <w:rsid w:val="00596333"/>
    <w:rsid w:val="005A223D"/>
    <w:rsid w:val="005B55D2"/>
    <w:rsid w:val="005B6EE8"/>
    <w:rsid w:val="005C1B30"/>
    <w:rsid w:val="005C5ED5"/>
    <w:rsid w:val="005C7808"/>
    <w:rsid w:val="005D2527"/>
    <w:rsid w:val="005D48D7"/>
    <w:rsid w:val="005D75F2"/>
    <w:rsid w:val="005E172D"/>
    <w:rsid w:val="005E27D2"/>
    <w:rsid w:val="005E6657"/>
    <w:rsid w:val="005E6AA7"/>
    <w:rsid w:val="005E6C78"/>
    <w:rsid w:val="005F060B"/>
    <w:rsid w:val="005F7091"/>
    <w:rsid w:val="006021F6"/>
    <w:rsid w:val="00602C5B"/>
    <w:rsid w:val="00605143"/>
    <w:rsid w:val="006058A1"/>
    <w:rsid w:val="00613685"/>
    <w:rsid w:val="006207A7"/>
    <w:rsid w:val="00620EEB"/>
    <w:rsid w:val="006222B5"/>
    <w:rsid w:val="00622959"/>
    <w:rsid w:val="00623819"/>
    <w:rsid w:val="00634F8C"/>
    <w:rsid w:val="00636C0D"/>
    <w:rsid w:val="00636C9A"/>
    <w:rsid w:val="00640232"/>
    <w:rsid w:val="00640360"/>
    <w:rsid w:val="00647F61"/>
    <w:rsid w:val="00656B88"/>
    <w:rsid w:val="00664CCD"/>
    <w:rsid w:val="006655BA"/>
    <w:rsid w:val="00670581"/>
    <w:rsid w:val="00670D65"/>
    <w:rsid w:val="006750D6"/>
    <w:rsid w:val="00681C7C"/>
    <w:rsid w:val="00683A68"/>
    <w:rsid w:val="00687DAD"/>
    <w:rsid w:val="006970B8"/>
    <w:rsid w:val="006A24D1"/>
    <w:rsid w:val="006A2C1A"/>
    <w:rsid w:val="006B0B80"/>
    <w:rsid w:val="006B32E2"/>
    <w:rsid w:val="006B5F88"/>
    <w:rsid w:val="006C250E"/>
    <w:rsid w:val="006C52EF"/>
    <w:rsid w:val="006C6567"/>
    <w:rsid w:val="006D07FD"/>
    <w:rsid w:val="006D1203"/>
    <w:rsid w:val="006D60A3"/>
    <w:rsid w:val="006D64F6"/>
    <w:rsid w:val="006D6FD7"/>
    <w:rsid w:val="006E36F5"/>
    <w:rsid w:val="006F1ADA"/>
    <w:rsid w:val="006F299B"/>
    <w:rsid w:val="006F5FEC"/>
    <w:rsid w:val="00700194"/>
    <w:rsid w:val="00705FF8"/>
    <w:rsid w:val="00712C68"/>
    <w:rsid w:val="0071427E"/>
    <w:rsid w:val="007178E7"/>
    <w:rsid w:val="00717F71"/>
    <w:rsid w:val="007224F1"/>
    <w:rsid w:val="0072545C"/>
    <w:rsid w:val="007310BD"/>
    <w:rsid w:val="00731AB7"/>
    <w:rsid w:val="0074005B"/>
    <w:rsid w:val="00740F85"/>
    <w:rsid w:val="00744736"/>
    <w:rsid w:val="00746019"/>
    <w:rsid w:val="00746195"/>
    <w:rsid w:val="007477D8"/>
    <w:rsid w:val="00747811"/>
    <w:rsid w:val="007479CA"/>
    <w:rsid w:val="00747CE7"/>
    <w:rsid w:val="00750E14"/>
    <w:rsid w:val="0076003A"/>
    <w:rsid w:val="0076265A"/>
    <w:rsid w:val="00776D97"/>
    <w:rsid w:val="00786222"/>
    <w:rsid w:val="007920ED"/>
    <w:rsid w:val="00794BB1"/>
    <w:rsid w:val="00796A50"/>
    <w:rsid w:val="007A7C59"/>
    <w:rsid w:val="007B1366"/>
    <w:rsid w:val="007B1A22"/>
    <w:rsid w:val="007B3076"/>
    <w:rsid w:val="007B6D44"/>
    <w:rsid w:val="007B775E"/>
    <w:rsid w:val="007C0E76"/>
    <w:rsid w:val="007C2012"/>
    <w:rsid w:val="007C2507"/>
    <w:rsid w:val="007C60F2"/>
    <w:rsid w:val="007C7095"/>
    <w:rsid w:val="007D14E9"/>
    <w:rsid w:val="007D192B"/>
    <w:rsid w:val="007D1C97"/>
    <w:rsid w:val="007D21FA"/>
    <w:rsid w:val="007D36D9"/>
    <w:rsid w:val="007D42B4"/>
    <w:rsid w:val="007D667C"/>
    <w:rsid w:val="007D7F23"/>
    <w:rsid w:val="007E0DA9"/>
    <w:rsid w:val="007E4630"/>
    <w:rsid w:val="007E7803"/>
    <w:rsid w:val="007E7F8B"/>
    <w:rsid w:val="007F1013"/>
    <w:rsid w:val="007F19C0"/>
    <w:rsid w:val="007F472F"/>
    <w:rsid w:val="007F4C7A"/>
    <w:rsid w:val="007F546F"/>
    <w:rsid w:val="007F5F2A"/>
    <w:rsid w:val="007F649A"/>
    <w:rsid w:val="007F7740"/>
    <w:rsid w:val="0080039D"/>
    <w:rsid w:val="00803762"/>
    <w:rsid w:val="00805AE9"/>
    <w:rsid w:val="00812364"/>
    <w:rsid w:val="00813D91"/>
    <w:rsid w:val="00815649"/>
    <w:rsid w:val="008162EA"/>
    <w:rsid w:val="00816665"/>
    <w:rsid w:val="00817DBC"/>
    <w:rsid w:val="008301D9"/>
    <w:rsid w:val="008337C9"/>
    <w:rsid w:val="008406C5"/>
    <w:rsid w:val="00844B98"/>
    <w:rsid w:val="0084551F"/>
    <w:rsid w:val="008455EE"/>
    <w:rsid w:val="00850AEB"/>
    <w:rsid w:val="0085120C"/>
    <w:rsid w:val="00852D7F"/>
    <w:rsid w:val="008530F5"/>
    <w:rsid w:val="008566B9"/>
    <w:rsid w:val="00857969"/>
    <w:rsid w:val="008619EF"/>
    <w:rsid w:val="00866F1B"/>
    <w:rsid w:val="008704C1"/>
    <w:rsid w:val="00874F6E"/>
    <w:rsid w:val="00883D9B"/>
    <w:rsid w:val="008854B0"/>
    <w:rsid w:val="0088556D"/>
    <w:rsid w:val="0089540E"/>
    <w:rsid w:val="0089768E"/>
    <w:rsid w:val="008A2633"/>
    <w:rsid w:val="008A2C0F"/>
    <w:rsid w:val="008A38E9"/>
    <w:rsid w:val="008A3A27"/>
    <w:rsid w:val="008A4D3B"/>
    <w:rsid w:val="008B3B11"/>
    <w:rsid w:val="008B75C9"/>
    <w:rsid w:val="008C1911"/>
    <w:rsid w:val="008C2FB9"/>
    <w:rsid w:val="008C4F52"/>
    <w:rsid w:val="008C64F0"/>
    <w:rsid w:val="008D1BD4"/>
    <w:rsid w:val="008D245B"/>
    <w:rsid w:val="008D3FC4"/>
    <w:rsid w:val="008D43E7"/>
    <w:rsid w:val="008D778C"/>
    <w:rsid w:val="008E2A61"/>
    <w:rsid w:val="008E6EE5"/>
    <w:rsid w:val="008E7358"/>
    <w:rsid w:val="008F17EC"/>
    <w:rsid w:val="008F38C9"/>
    <w:rsid w:val="008F4037"/>
    <w:rsid w:val="008F44EA"/>
    <w:rsid w:val="008F5BC2"/>
    <w:rsid w:val="008F6165"/>
    <w:rsid w:val="008F6E4B"/>
    <w:rsid w:val="00900BEA"/>
    <w:rsid w:val="0090123D"/>
    <w:rsid w:val="00901EF1"/>
    <w:rsid w:val="00913D78"/>
    <w:rsid w:val="00915AFC"/>
    <w:rsid w:val="00926548"/>
    <w:rsid w:val="00926ADA"/>
    <w:rsid w:val="00927C4E"/>
    <w:rsid w:val="00930DC9"/>
    <w:rsid w:val="00931598"/>
    <w:rsid w:val="009319A0"/>
    <w:rsid w:val="009332D5"/>
    <w:rsid w:val="00933A9A"/>
    <w:rsid w:val="00934E4B"/>
    <w:rsid w:val="0093720C"/>
    <w:rsid w:val="009424FF"/>
    <w:rsid w:val="00942EBE"/>
    <w:rsid w:val="00944A78"/>
    <w:rsid w:val="00946CDC"/>
    <w:rsid w:val="0095072D"/>
    <w:rsid w:val="00953E73"/>
    <w:rsid w:val="00954911"/>
    <w:rsid w:val="0095686C"/>
    <w:rsid w:val="00956D21"/>
    <w:rsid w:val="0095702A"/>
    <w:rsid w:val="00957EC9"/>
    <w:rsid w:val="009618CF"/>
    <w:rsid w:val="0096411D"/>
    <w:rsid w:val="0096514D"/>
    <w:rsid w:val="00967B0E"/>
    <w:rsid w:val="00972BBF"/>
    <w:rsid w:val="00973D5F"/>
    <w:rsid w:val="00974407"/>
    <w:rsid w:val="0097638E"/>
    <w:rsid w:val="0098059C"/>
    <w:rsid w:val="0098184D"/>
    <w:rsid w:val="00982612"/>
    <w:rsid w:val="009855C6"/>
    <w:rsid w:val="009865E9"/>
    <w:rsid w:val="00986D88"/>
    <w:rsid w:val="00990393"/>
    <w:rsid w:val="00990D06"/>
    <w:rsid w:val="00996583"/>
    <w:rsid w:val="00997B92"/>
    <w:rsid w:val="009A3A59"/>
    <w:rsid w:val="009A47E2"/>
    <w:rsid w:val="009B05AD"/>
    <w:rsid w:val="009B1299"/>
    <w:rsid w:val="009B5C3C"/>
    <w:rsid w:val="009B6A96"/>
    <w:rsid w:val="009B6B4A"/>
    <w:rsid w:val="009B71E3"/>
    <w:rsid w:val="009B79E5"/>
    <w:rsid w:val="009B7B95"/>
    <w:rsid w:val="009C0512"/>
    <w:rsid w:val="009C5D82"/>
    <w:rsid w:val="009C5E1E"/>
    <w:rsid w:val="009D467C"/>
    <w:rsid w:val="009E1696"/>
    <w:rsid w:val="009E4571"/>
    <w:rsid w:val="009E45B4"/>
    <w:rsid w:val="009E566D"/>
    <w:rsid w:val="009E6D40"/>
    <w:rsid w:val="009E7E8F"/>
    <w:rsid w:val="009F0BEE"/>
    <w:rsid w:val="009F0E9D"/>
    <w:rsid w:val="009F1F66"/>
    <w:rsid w:val="009F6EDE"/>
    <w:rsid w:val="00A00B87"/>
    <w:rsid w:val="00A03DB0"/>
    <w:rsid w:val="00A068D5"/>
    <w:rsid w:val="00A11C1A"/>
    <w:rsid w:val="00A21207"/>
    <w:rsid w:val="00A23FBD"/>
    <w:rsid w:val="00A24480"/>
    <w:rsid w:val="00A24511"/>
    <w:rsid w:val="00A24556"/>
    <w:rsid w:val="00A25382"/>
    <w:rsid w:val="00A26849"/>
    <w:rsid w:val="00A276AB"/>
    <w:rsid w:val="00A30453"/>
    <w:rsid w:val="00A3105B"/>
    <w:rsid w:val="00A34F79"/>
    <w:rsid w:val="00A41A91"/>
    <w:rsid w:val="00A41F73"/>
    <w:rsid w:val="00A424B8"/>
    <w:rsid w:val="00A47CE6"/>
    <w:rsid w:val="00A52114"/>
    <w:rsid w:val="00A54474"/>
    <w:rsid w:val="00A579FA"/>
    <w:rsid w:val="00A6110E"/>
    <w:rsid w:val="00A618EB"/>
    <w:rsid w:val="00A6429C"/>
    <w:rsid w:val="00A646B9"/>
    <w:rsid w:val="00A655CB"/>
    <w:rsid w:val="00A65F77"/>
    <w:rsid w:val="00A6798A"/>
    <w:rsid w:val="00A7335A"/>
    <w:rsid w:val="00A76E1A"/>
    <w:rsid w:val="00A82EDC"/>
    <w:rsid w:val="00A84508"/>
    <w:rsid w:val="00A8621B"/>
    <w:rsid w:val="00A87231"/>
    <w:rsid w:val="00A91D6E"/>
    <w:rsid w:val="00A92120"/>
    <w:rsid w:val="00A93567"/>
    <w:rsid w:val="00A937A2"/>
    <w:rsid w:val="00A93E82"/>
    <w:rsid w:val="00A94997"/>
    <w:rsid w:val="00A95D27"/>
    <w:rsid w:val="00AA0C23"/>
    <w:rsid w:val="00AA21D4"/>
    <w:rsid w:val="00AA4D41"/>
    <w:rsid w:val="00AA59D3"/>
    <w:rsid w:val="00AA6784"/>
    <w:rsid w:val="00AB1E78"/>
    <w:rsid w:val="00AB2BFD"/>
    <w:rsid w:val="00AB2CB8"/>
    <w:rsid w:val="00AB7592"/>
    <w:rsid w:val="00AC0BE3"/>
    <w:rsid w:val="00AC2D17"/>
    <w:rsid w:val="00AC3218"/>
    <w:rsid w:val="00AC3A5D"/>
    <w:rsid w:val="00AC63B4"/>
    <w:rsid w:val="00AC64C7"/>
    <w:rsid w:val="00AC74A8"/>
    <w:rsid w:val="00AC7C6D"/>
    <w:rsid w:val="00AD59D0"/>
    <w:rsid w:val="00AD7A87"/>
    <w:rsid w:val="00AE76D0"/>
    <w:rsid w:val="00AF0886"/>
    <w:rsid w:val="00AF1BEB"/>
    <w:rsid w:val="00AF1FA6"/>
    <w:rsid w:val="00AF2151"/>
    <w:rsid w:val="00AF2F52"/>
    <w:rsid w:val="00AF683B"/>
    <w:rsid w:val="00B00656"/>
    <w:rsid w:val="00B02516"/>
    <w:rsid w:val="00B03D1D"/>
    <w:rsid w:val="00B03E9B"/>
    <w:rsid w:val="00B06DAF"/>
    <w:rsid w:val="00B11F3C"/>
    <w:rsid w:val="00B157B1"/>
    <w:rsid w:val="00B16267"/>
    <w:rsid w:val="00B221BC"/>
    <w:rsid w:val="00B2280F"/>
    <w:rsid w:val="00B2393B"/>
    <w:rsid w:val="00B23BE0"/>
    <w:rsid w:val="00B23DB8"/>
    <w:rsid w:val="00B24E57"/>
    <w:rsid w:val="00B24E58"/>
    <w:rsid w:val="00B26AFB"/>
    <w:rsid w:val="00B27FD0"/>
    <w:rsid w:val="00B31BAB"/>
    <w:rsid w:val="00B35AEA"/>
    <w:rsid w:val="00B35EFF"/>
    <w:rsid w:val="00B375E7"/>
    <w:rsid w:val="00B43331"/>
    <w:rsid w:val="00B43958"/>
    <w:rsid w:val="00B46285"/>
    <w:rsid w:val="00B46F8A"/>
    <w:rsid w:val="00B51EEA"/>
    <w:rsid w:val="00B52DA3"/>
    <w:rsid w:val="00B62D10"/>
    <w:rsid w:val="00B6612B"/>
    <w:rsid w:val="00B679D6"/>
    <w:rsid w:val="00B7370A"/>
    <w:rsid w:val="00B74E51"/>
    <w:rsid w:val="00B74FA7"/>
    <w:rsid w:val="00B76419"/>
    <w:rsid w:val="00B7658F"/>
    <w:rsid w:val="00B77B34"/>
    <w:rsid w:val="00B85A93"/>
    <w:rsid w:val="00B91001"/>
    <w:rsid w:val="00B9175A"/>
    <w:rsid w:val="00B939E0"/>
    <w:rsid w:val="00B975D8"/>
    <w:rsid w:val="00BA1C1E"/>
    <w:rsid w:val="00BA5E4C"/>
    <w:rsid w:val="00BA72AC"/>
    <w:rsid w:val="00BB161F"/>
    <w:rsid w:val="00BB1EA4"/>
    <w:rsid w:val="00BB32F2"/>
    <w:rsid w:val="00BB4880"/>
    <w:rsid w:val="00BB62D9"/>
    <w:rsid w:val="00BC0F3B"/>
    <w:rsid w:val="00BC2BB3"/>
    <w:rsid w:val="00BC3278"/>
    <w:rsid w:val="00BC67FD"/>
    <w:rsid w:val="00BD24BE"/>
    <w:rsid w:val="00BD358F"/>
    <w:rsid w:val="00BD38E1"/>
    <w:rsid w:val="00BD42DB"/>
    <w:rsid w:val="00BD67DF"/>
    <w:rsid w:val="00BE176B"/>
    <w:rsid w:val="00BE4296"/>
    <w:rsid w:val="00BE5566"/>
    <w:rsid w:val="00BF0D02"/>
    <w:rsid w:val="00BF194C"/>
    <w:rsid w:val="00BF29A9"/>
    <w:rsid w:val="00BF2F81"/>
    <w:rsid w:val="00BF4531"/>
    <w:rsid w:val="00BF4639"/>
    <w:rsid w:val="00C01DB4"/>
    <w:rsid w:val="00C039C0"/>
    <w:rsid w:val="00C03AD0"/>
    <w:rsid w:val="00C04E08"/>
    <w:rsid w:val="00C04FD7"/>
    <w:rsid w:val="00C06628"/>
    <w:rsid w:val="00C066B3"/>
    <w:rsid w:val="00C06D10"/>
    <w:rsid w:val="00C07DBA"/>
    <w:rsid w:val="00C10EE5"/>
    <w:rsid w:val="00C11341"/>
    <w:rsid w:val="00C132EF"/>
    <w:rsid w:val="00C13CA4"/>
    <w:rsid w:val="00C13F2C"/>
    <w:rsid w:val="00C14E09"/>
    <w:rsid w:val="00C15BD2"/>
    <w:rsid w:val="00C16279"/>
    <w:rsid w:val="00C2177B"/>
    <w:rsid w:val="00C23AAA"/>
    <w:rsid w:val="00C24243"/>
    <w:rsid w:val="00C244F5"/>
    <w:rsid w:val="00C25CC2"/>
    <w:rsid w:val="00C30B90"/>
    <w:rsid w:val="00C332BE"/>
    <w:rsid w:val="00C33634"/>
    <w:rsid w:val="00C33B55"/>
    <w:rsid w:val="00C34486"/>
    <w:rsid w:val="00C34BB3"/>
    <w:rsid w:val="00C425C3"/>
    <w:rsid w:val="00C468C8"/>
    <w:rsid w:val="00C52785"/>
    <w:rsid w:val="00C54219"/>
    <w:rsid w:val="00C54431"/>
    <w:rsid w:val="00C55657"/>
    <w:rsid w:val="00C56D2F"/>
    <w:rsid w:val="00C60E8B"/>
    <w:rsid w:val="00C6182A"/>
    <w:rsid w:val="00C63A4D"/>
    <w:rsid w:val="00C64A5A"/>
    <w:rsid w:val="00C65F36"/>
    <w:rsid w:val="00C66248"/>
    <w:rsid w:val="00C70844"/>
    <w:rsid w:val="00C72383"/>
    <w:rsid w:val="00C77C1D"/>
    <w:rsid w:val="00C77DC4"/>
    <w:rsid w:val="00C80F07"/>
    <w:rsid w:val="00C82860"/>
    <w:rsid w:val="00C82D20"/>
    <w:rsid w:val="00C83D46"/>
    <w:rsid w:val="00C852EE"/>
    <w:rsid w:val="00C85570"/>
    <w:rsid w:val="00C87AE5"/>
    <w:rsid w:val="00CA2507"/>
    <w:rsid w:val="00CA5D37"/>
    <w:rsid w:val="00CB0F57"/>
    <w:rsid w:val="00CB2A4E"/>
    <w:rsid w:val="00CB4EAF"/>
    <w:rsid w:val="00CB5DBA"/>
    <w:rsid w:val="00CB77F2"/>
    <w:rsid w:val="00CB7F9E"/>
    <w:rsid w:val="00CC08EE"/>
    <w:rsid w:val="00CC0F37"/>
    <w:rsid w:val="00CC54F2"/>
    <w:rsid w:val="00CC558D"/>
    <w:rsid w:val="00CC5A6D"/>
    <w:rsid w:val="00CD2D06"/>
    <w:rsid w:val="00CD33AD"/>
    <w:rsid w:val="00CE2B97"/>
    <w:rsid w:val="00CE75A2"/>
    <w:rsid w:val="00CF4FBD"/>
    <w:rsid w:val="00CF670F"/>
    <w:rsid w:val="00CF67F0"/>
    <w:rsid w:val="00D01458"/>
    <w:rsid w:val="00D0222C"/>
    <w:rsid w:val="00D05C7F"/>
    <w:rsid w:val="00D11834"/>
    <w:rsid w:val="00D145B8"/>
    <w:rsid w:val="00D15549"/>
    <w:rsid w:val="00D213F8"/>
    <w:rsid w:val="00D21904"/>
    <w:rsid w:val="00D23DC4"/>
    <w:rsid w:val="00D3151C"/>
    <w:rsid w:val="00D32611"/>
    <w:rsid w:val="00D371ED"/>
    <w:rsid w:val="00D4033D"/>
    <w:rsid w:val="00D46A2A"/>
    <w:rsid w:val="00D51DD9"/>
    <w:rsid w:val="00D52A6C"/>
    <w:rsid w:val="00D52C1B"/>
    <w:rsid w:val="00D53C53"/>
    <w:rsid w:val="00D54ED9"/>
    <w:rsid w:val="00D554FE"/>
    <w:rsid w:val="00D555F4"/>
    <w:rsid w:val="00D60220"/>
    <w:rsid w:val="00D62302"/>
    <w:rsid w:val="00D633D4"/>
    <w:rsid w:val="00D7074B"/>
    <w:rsid w:val="00D71034"/>
    <w:rsid w:val="00D72F29"/>
    <w:rsid w:val="00D74356"/>
    <w:rsid w:val="00D747B3"/>
    <w:rsid w:val="00D75983"/>
    <w:rsid w:val="00D75986"/>
    <w:rsid w:val="00D76589"/>
    <w:rsid w:val="00D83E8B"/>
    <w:rsid w:val="00D9054B"/>
    <w:rsid w:val="00D94D6C"/>
    <w:rsid w:val="00D95F7C"/>
    <w:rsid w:val="00DA0283"/>
    <w:rsid w:val="00DA040C"/>
    <w:rsid w:val="00DA08EA"/>
    <w:rsid w:val="00DA1E42"/>
    <w:rsid w:val="00DA4C0C"/>
    <w:rsid w:val="00DA4CDB"/>
    <w:rsid w:val="00DA6204"/>
    <w:rsid w:val="00DA711D"/>
    <w:rsid w:val="00DB05D3"/>
    <w:rsid w:val="00DB250C"/>
    <w:rsid w:val="00DB2ACB"/>
    <w:rsid w:val="00DB50E2"/>
    <w:rsid w:val="00DB5DF5"/>
    <w:rsid w:val="00DC1DA2"/>
    <w:rsid w:val="00DC3822"/>
    <w:rsid w:val="00DD216C"/>
    <w:rsid w:val="00DE267F"/>
    <w:rsid w:val="00DF130A"/>
    <w:rsid w:val="00DF2FE4"/>
    <w:rsid w:val="00DF500C"/>
    <w:rsid w:val="00DF52C2"/>
    <w:rsid w:val="00DF6FE1"/>
    <w:rsid w:val="00E01398"/>
    <w:rsid w:val="00E01742"/>
    <w:rsid w:val="00E0720B"/>
    <w:rsid w:val="00E11285"/>
    <w:rsid w:val="00E153C9"/>
    <w:rsid w:val="00E15C33"/>
    <w:rsid w:val="00E20819"/>
    <w:rsid w:val="00E24C1F"/>
    <w:rsid w:val="00E27B36"/>
    <w:rsid w:val="00E313B0"/>
    <w:rsid w:val="00E32C3A"/>
    <w:rsid w:val="00E33D13"/>
    <w:rsid w:val="00E34320"/>
    <w:rsid w:val="00E3528F"/>
    <w:rsid w:val="00E378E4"/>
    <w:rsid w:val="00E41B33"/>
    <w:rsid w:val="00E44FDD"/>
    <w:rsid w:val="00E51321"/>
    <w:rsid w:val="00E557F4"/>
    <w:rsid w:val="00E56753"/>
    <w:rsid w:val="00E62143"/>
    <w:rsid w:val="00E621BF"/>
    <w:rsid w:val="00E67E12"/>
    <w:rsid w:val="00E70CA3"/>
    <w:rsid w:val="00E71980"/>
    <w:rsid w:val="00E736A2"/>
    <w:rsid w:val="00E77FC1"/>
    <w:rsid w:val="00E82F3F"/>
    <w:rsid w:val="00E83D4A"/>
    <w:rsid w:val="00E868EE"/>
    <w:rsid w:val="00E87D8E"/>
    <w:rsid w:val="00E910C1"/>
    <w:rsid w:val="00E9463D"/>
    <w:rsid w:val="00E9493C"/>
    <w:rsid w:val="00EA2A5C"/>
    <w:rsid w:val="00EA57C1"/>
    <w:rsid w:val="00EB047F"/>
    <w:rsid w:val="00EB1812"/>
    <w:rsid w:val="00EB2F87"/>
    <w:rsid w:val="00EC343A"/>
    <w:rsid w:val="00EC34BF"/>
    <w:rsid w:val="00EC3CF0"/>
    <w:rsid w:val="00ED17F9"/>
    <w:rsid w:val="00ED1B6E"/>
    <w:rsid w:val="00ED35BE"/>
    <w:rsid w:val="00ED37E3"/>
    <w:rsid w:val="00ED479C"/>
    <w:rsid w:val="00ED48F0"/>
    <w:rsid w:val="00ED5218"/>
    <w:rsid w:val="00ED726B"/>
    <w:rsid w:val="00ED7779"/>
    <w:rsid w:val="00EE1E69"/>
    <w:rsid w:val="00EE7C89"/>
    <w:rsid w:val="00EF40BC"/>
    <w:rsid w:val="00EF45FC"/>
    <w:rsid w:val="00F01733"/>
    <w:rsid w:val="00F060BD"/>
    <w:rsid w:val="00F10D4A"/>
    <w:rsid w:val="00F11B36"/>
    <w:rsid w:val="00F20175"/>
    <w:rsid w:val="00F20502"/>
    <w:rsid w:val="00F216EF"/>
    <w:rsid w:val="00F2788C"/>
    <w:rsid w:val="00F3119E"/>
    <w:rsid w:val="00F31E03"/>
    <w:rsid w:val="00F32D57"/>
    <w:rsid w:val="00F336E4"/>
    <w:rsid w:val="00F345AF"/>
    <w:rsid w:val="00F36A73"/>
    <w:rsid w:val="00F3724F"/>
    <w:rsid w:val="00F3797C"/>
    <w:rsid w:val="00F4022E"/>
    <w:rsid w:val="00F44D08"/>
    <w:rsid w:val="00F54F75"/>
    <w:rsid w:val="00F55053"/>
    <w:rsid w:val="00F577BD"/>
    <w:rsid w:val="00F57FE2"/>
    <w:rsid w:val="00F60B9F"/>
    <w:rsid w:val="00F71A3C"/>
    <w:rsid w:val="00F73B79"/>
    <w:rsid w:val="00F73DF5"/>
    <w:rsid w:val="00F7458C"/>
    <w:rsid w:val="00F7494C"/>
    <w:rsid w:val="00F76723"/>
    <w:rsid w:val="00F80312"/>
    <w:rsid w:val="00F825A8"/>
    <w:rsid w:val="00F82F30"/>
    <w:rsid w:val="00F85637"/>
    <w:rsid w:val="00F864DE"/>
    <w:rsid w:val="00F90456"/>
    <w:rsid w:val="00F9183F"/>
    <w:rsid w:val="00F91A9B"/>
    <w:rsid w:val="00F92844"/>
    <w:rsid w:val="00F9339A"/>
    <w:rsid w:val="00F93DD4"/>
    <w:rsid w:val="00F94344"/>
    <w:rsid w:val="00F95A60"/>
    <w:rsid w:val="00F96F81"/>
    <w:rsid w:val="00F97659"/>
    <w:rsid w:val="00FA104A"/>
    <w:rsid w:val="00FA5EE0"/>
    <w:rsid w:val="00FA7077"/>
    <w:rsid w:val="00FB218A"/>
    <w:rsid w:val="00FB29D4"/>
    <w:rsid w:val="00FB2DCB"/>
    <w:rsid w:val="00FB3352"/>
    <w:rsid w:val="00FC022F"/>
    <w:rsid w:val="00FC5597"/>
    <w:rsid w:val="00FC58B2"/>
    <w:rsid w:val="00FD0D71"/>
    <w:rsid w:val="00FD141F"/>
    <w:rsid w:val="00FD2972"/>
    <w:rsid w:val="00FD3EF3"/>
    <w:rsid w:val="00FD7546"/>
    <w:rsid w:val="00FD7626"/>
    <w:rsid w:val="00FD7EFE"/>
    <w:rsid w:val="00FE153B"/>
    <w:rsid w:val="00FE1C16"/>
    <w:rsid w:val="00FE531B"/>
    <w:rsid w:val="00FE743C"/>
    <w:rsid w:val="00FF1C36"/>
    <w:rsid w:val="00FF30DD"/>
    <w:rsid w:val="00FF4E9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8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43E7"/>
    <w:rPr>
      <w:color w:val="194B96"/>
      <w:u w:val="single"/>
    </w:rPr>
  </w:style>
  <w:style w:type="character" w:styleId="Strong">
    <w:name w:val="Strong"/>
    <w:basedOn w:val="DefaultParagraphFont"/>
    <w:uiPriority w:val="22"/>
    <w:qFormat/>
    <w:rsid w:val="008D43E7"/>
    <w:rPr>
      <w:b/>
      <w:bCs/>
    </w:rPr>
  </w:style>
  <w:style w:type="paragraph" w:styleId="NormalWeb">
    <w:name w:val="Normal (Web)"/>
    <w:basedOn w:val="Normal"/>
    <w:uiPriority w:val="99"/>
    <w:unhideWhenUsed/>
    <w:rsid w:val="008D43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rangehead">
    <w:name w:val="orangehead"/>
    <w:basedOn w:val="Normal"/>
    <w:rsid w:val="008D43E7"/>
    <w:pPr>
      <w:pBdr>
        <w:bottom w:val="single" w:sz="6" w:space="4" w:color="999999"/>
      </w:pBdr>
      <w:spacing w:after="0" w:line="240" w:lineRule="auto"/>
    </w:pPr>
    <w:rPr>
      <w:rFonts w:ascii="Times New Roman" w:eastAsia="Times New Roman" w:hAnsi="Times New Roman" w:cs="Times New Roman"/>
      <w:b/>
      <w:bCs/>
      <w:color w:val="CC4D00"/>
      <w:sz w:val="24"/>
      <w:szCs w:val="24"/>
    </w:rPr>
  </w:style>
  <w:style w:type="paragraph" w:customStyle="1" w:styleId="orangeheadline">
    <w:name w:val="orangeheadline"/>
    <w:basedOn w:val="Normal"/>
    <w:rsid w:val="008D43E7"/>
    <w:pPr>
      <w:spacing w:before="100" w:beforeAutospacing="1" w:after="100" w:afterAutospacing="1" w:line="240" w:lineRule="auto"/>
    </w:pPr>
    <w:rPr>
      <w:rFonts w:ascii="Verdana" w:eastAsia="Times New Roman" w:hAnsi="Verdana" w:cs="Times New Roman"/>
      <w:b/>
      <w:bCs/>
      <w:color w:val="CC4D00"/>
      <w:sz w:val="34"/>
      <w:szCs w:val="34"/>
    </w:rPr>
  </w:style>
  <w:style w:type="paragraph" w:styleId="BalloonText">
    <w:name w:val="Balloon Text"/>
    <w:basedOn w:val="Normal"/>
    <w:link w:val="BalloonTextChar"/>
    <w:uiPriority w:val="99"/>
    <w:semiHidden/>
    <w:unhideWhenUsed/>
    <w:rsid w:val="008D43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3E7"/>
    <w:rPr>
      <w:rFonts w:ascii="Tahoma" w:hAnsi="Tahoma" w:cs="Tahoma"/>
      <w:sz w:val="16"/>
      <w:szCs w:val="16"/>
    </w:rPr>
  </w:style>
  <w:style w:type="paragraph" w:styleId="Header">
    <w:name w:val="header"/>
    <w:basedOn w:val="Normal"/>
    <w:link w:val="HeaderChar"/>
    <w:uiPriority w:val="99"/>
    <w:semiHidden/>
    <w:unhideWhenUsed/>
    <w:rsid w:val="008D43E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D43E7"/>
  </w:style>
  <w:style w:type="paragraph" w:styleId="Footer">
    <w:name w:val="footer"/>
    <w:basedOn w:val="Normal"/>
    <w:link w:val="FooterChar"/>
    <w:uiPriority w:val="99"/>
    <w:semiHidden/>
    <w:unhideWhenUsed/>
    <w:rsid w:val="008D43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43E7"/>
  </w:style>
</w:styles>
</file>

<file path=word/webSettings.xml><?xml version="1.0" encoding="utf-8"?>
<w:webSettings xmlns:r="http://schemas.openxmlformats.org/officeDocument/2006/relationships" xmlns:w="http://schemas.openxmlformats.org/wordprocessingml/2006/main">
  <w:divs>
    <w:div w:id="1362702221">
      <w:bodyDiv w:val="1"/>
      <w:marLeft w:val="0"/>
      <w:marRight w:val="0"/>
      <w:marTop w:val="0"/>
      <w:marBottom w:val="0"/>
      <w:divBdr>
        <w:top w:val="none" w:sz="0" w:space="0" w:color="auto"/>
        <w:left w:val="none" w:sz="0" w:space="0" w:color="auto"/>
        <w:bottom w:val="none" w:sz="0" w:space="0" w:color="auto"/>
        <w:right w:val="none" w:sz="0" w:space="0" w:color="auto"/>
      </w:divBdr>
      <w:divsChild>
        <w:div w:id="683048954">
          <w:marLeft w:val="0"/>
          <w:marRight w:val="0"/>
          <w:marTop w:val="0"/>
          <w:marBottom w:val="0"/>
          <w:divBdr>
            <w:top w:val="none" w:sz="0" w:space="0" w:color="auto"/>
            <w:left w:val="none" w:sz="0" w:space="0" w:color="auto"/>
            <w:bottom w:val="none" w:sz="0" w:space="0" w:color="auto"/>
            <w:right w:val="none" w:sz="0" w:space="0" w:color="auto"/>
          </w:divBdr>
          <w:divsChild>
            <w:div w:id="1137407586">
              <w:marLeft w:val="0"/>
              <w:marRight w:val="0"/>
              <w:marTop w:val="0"/>
              <w:marBottom w:val="105"/>
              <w:divBdr>
                <w:top w:val="none" w:sz="0" w:space="0" w:color="auto"/>
                <w:left w:val="none" w:sz="0" w:space="0" w:color="auto"/>
                <w:bottom w:val="single" w:sz="6" w:space="5" w:color="999999"/>
                <w:right w:val="none" w:sz="0" w:space="0" w:color="auto"/>
              </w:divBdr>
            </w:div>
            <w:div w:id="449277967">
              <w:marLeft w:val="0"/>
              <w:marRight w:val="0"/>
              <w:marTop w:val="0"/>
              <w:marBottom w:val="0"/>
              <w:divBdr>
                <w:top w:val="single" w:sz="12" w:space="11" w:color="BEBBBB"/>
                <w:left w:val="single" w:sz="12" w:space="11" w:color="BEBBBB"/>
                <w:bottom w:val="single" w:sz="12" w:space="11" w:color="7B7B7B"/>
                <w:right w:val="single" w:sz="12" w:space="11" w:color="7B7B7B"/>
              </w:divBdr>
              <w:divsChild>
                <w:div w:id="157485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sq.org/learn-about-quality/project-planning-tools/overview/read-more.html" TargetMode="External"/><Relationship Id="rId13" Type="http://schemas.openxmlformats.org/officeDocument/2006/relationships/hyperlink" Target="http://asq.org/learn-about-quality/project-planning-tools/links-resources/audiocasts.html" TargetMode="External"/><Relationship Id="rId18" Type="http://schemas.openxmlformats.org/officeDocument/2006/relationships/hyperlink" Target="http://asq.org/privacy-policy.html" TargetMode="External"/><Relationship Id="rId3" Type="http://schemas.openxmlformats.org/officeDocument/2006/relationships/settings" Target="settings.xml"/><Relationship Id="rId21" Type="http://schemas.openxmlformats.org/officeDocument/2006/relationships/hyperlink" Target="http://asq.org/links/" TargetMode="External"/><Relationship Id="rId7" Type="http://schemas.openxmlformats.org/officeDocument/2006/relationships/hyperlink" Target="http://asq.org/learn-about-quality/project-planning-tools/overview/overview.html" TargetMode="External"/><Relationship Id="rId12" Type="http://schemas.openxmlformats.org/officeDocument/2006/relationships/hyperlink" Target="http://asq.org/quality-press/display-item/index.html?item=H1224" TargetMode="External"/><Relationship Id="rId17" Type="http://schemas.openxmlformats.org/officeDocument/2006/relationships/hyperlink" Target="http://asq.org/copyright/" TargetMode="External"/><Relationship Id="rId2" Type="http://schemas.openxmlformats.org/officeDocument/2006/relationships/styles" Target="styles.xml"/><Relationship Id="rId16" Type="http://schemas.openxmlformats.org/officeDocument/2006/relationships/hyperlink" Target="http://asq.org/customer-service/" TargetMode="External"/><Relationship Id="rId20" Type="http://schemas.openxmlformats.org/officeDocument/2006/relationships/hyperlink" Target="http://asq.org/site-map.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gi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asq.org/customer-service/contact-asq/index.html" TargetMode="External"/><Relationship Id="rId23" Type="http://schemas.openxmlformats.org/officeDocument/2006/relationships/fontTable" Target="fontTable.xml"/><Relationship Id="rId10" Type="http://schemas.openxmlformats.org/officeDocument/2006/relationships/image" Target="media/image2.gif"/><Relationship Id="rId19" Type="http://schemas.openxmlformats.org/officeDocument/2006/relationships/hyperlink" Target="http://asq.org/ads/" TargetMode="Externa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hyperlink" Target="http://asq.org/index.html"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800</Words>
  <Characters>4566</Characters>
  <Application>Microsoft Office Word</Application>
  <DocSecurity>0</DocSecurity>
  <Lines>38</Lines>
  <Paragraphs>10</Paragraphs>
  <ScaleCrop>false</ScaleCrop>
  <Company>University of Pennsylvania</Company>
  <LinksUpToDate>false</LinksUpToDate>
  <CharactersWithSpaces>5356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D. Frazier</dc:creator>
  <cp:keywords/>
  <dc:description/>
  <cp:lastModifiedBy>Beverly D. Frazier</cp:lastModifiedBy>
  <cp:revision>1</cp:revision>
  <dcterms:created xsi:type="dcterms:W3CDTF">2010-10-18T01:10:00Z</dcterms:created>
  <dcterms:modified xsi:type="dcterms:W3CDTF">2010-10-18T01:11:00Z</dcterms:modified>
</cp:coreProperties>
</file>